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Fazio: "Necesitaremos los brazos de toda la afición para levantar el título"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galones de capitán luce Federico Fazio el brazalete en un Sevilla que ayer homenajeó a Antonio Puerta. Cita especial para el argentino, que es el único de la actual plantilla que coincidió con el sevillano en el vestuario. Es por ello que calificó de “muy lindo este trofeo, ha sido un gran partido y ahora estamos metidos y enchufados de cara a Cardiff. Va a ser muy importante el apoyo de la gente, como siempre, del sevillismo que siempre está ahí. Necesitamos de ellos para el martes porque, desde ya, hay que empezar a ganar el partido. Es una cita muy ilusionante para mí, para el grupo, la afición y para todos. Es muy importante meter al grupo desde ya en lo que nos jugamos”.</w:t>
            </w:r>
          </w:p>
          <w:p>
            <w:pPr>
              <w:ind w:left="-284" w:right="-427"/>
              <w:jc w:val="both"/>
              <w:rPr>
                <w:rFonts/>
                <w:color w:val="262626" w:themeColor="text1" w:themeTint="D9"/>
              </w:rPr>
            </w:pPr>
            <w:r>
              <w:t>	Ante la posible estampa de que tenga que levantar un nuevo título en tierras británicas, Federico Fazio fue claro: “Necesitamos los brazos de toda la afición para levantar el título”.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https://www.notasdeprensa.es/fazio-necesitaremos-los-brazos-de-toda-la_1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