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Evidencias en Pediatría: avance del número de marzo de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ha publicado dos artículos valorados críticamente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Evidencias en Pediatría: avance del número de marzo de 2016</w:t>
            </w:r>
          </w:p>
          <w:p>
            <w:pPr>
              <w:ind w:left="-284" w:right="-427"/>
              <w:jc w:val="both"/>
              <w:rPr>
                <w:rFonts/>
                <w:color w:val="262626" w:themeColor="text1" w:themeTint="D9"/>
              </w:rPr>
            </w:pPr>
            <w:r>
              <w:t>	Se han publicado en la web de la revista electrónica "Evidencias en Pediatría" tres nuevos artículos correspondientes al avance del próximo número de la revista que se publicará en el mes de marzo.</w:t>
            </w:r>
          </w:p>
          <w:p>
            <w:pPr>
              <w:ind w:left="-284" w:right="-427"/>
              <w:jc w:val="both"/>
              <w:rPr>
                <w:rFonts/>
                <w:color w:val="262626" w:themeColor="text1" w:themeTint="D9"/>
              </w:rPr>
            </w:pPr>
            <w:r>
              <w:t>	En esta ocasión se han publicado dos artículos valorados críticamente (AVC) y una traducción autorizada.</w:t>
            </w:r>
          </w:p>
          <w:p>
            <w:pPr>
              <w:ind w:left="-284" w:right="-427"/>
              <w:jc w:val="both"/>
              <w:rPr>
                <w:rFonts/>
                <w:color w:val="262626" w:themeColor="text1" w:themeTint="D9"/>
              </w:rPr>
            </w:pPr>
            <w:r>
              <w:t>	AVC:</w:t>
            </w:r>
          </w:p>
          <w:p>
            <w:pPr>
              <w:ind w:left="-284" w:right="-427"/>
              <w:jc w:val="both"/>
              <w:rPr>
                <w:rFonts/>
                <w:color w:val="262626" w:themeColor="text1" w:themeTint="D9"/>
              </w:rPr>
            </w:pPr>
            <w:r>
              <w:t>
                <w:p>
                  <w:pPr>
                    <w:ind w:left="-284" w:right="-427"/>
                    <w:jc w:val="both"/>
                    <w:rPr>
                      <w:rFonts/>
                      <w:color w:val="262626" w:themeColor="text1" w:themeTint="D9"/>
                    </w:rPr>
                  </w:pPr>
                  <w:r>
                    <w:t>			La frenectomía es un procedimiento aún no avalado para el tratamiento de la anquiloglosia</w:t>
                  </w:r>
                </w:p>
              </w:t>
            </w:r>
          </w:p>
          <w:p>
            <w:pPr>
              <w:ind w:left="-284" w:right="-427"/>
              <w:jc w:val="both"/>
              <w:rPr>
                <w:rFonts/>
                <w:color w:val="262626" w:themeColor="text1" w:themeTint="D9"/>
              </w:rPr>
            </w:pPr>
            <w:r>
              <w:t>
                <w:p>
                  <w:pPr>
                    <w:ind w:left="-284" w:right="-427"/>
                    <w:jc w:val="both"/>
                    <w:rPr>
                      <w:rFonts/>
                      <w:color w:val="262626" w:themeColor="text1" w:themeTint="D9"/>
                    </w:rPr>
                  </w:pPr>
                  <w:r>
                    <w:t>			El uso previo de la ecografía retrasa injustificadamente el tratamiento de la cirugía de la criptorquidia</w:t>
                  </w:r>
                </w:p>
              </w:t>
            </w:r>
          </w:p>
          <w:p>
            <w:pPr>
              <w:ind w:left="-284" w:right="-427"/>
              <w:jc w:val="both"/>
              <w:rPr>
                <w:rFonts/>
                <w:color w:val="262626" w:themeColor="text1" w:themeTint="D9"/>
              </w:rPr>
            </w:pPr>
            <w:r>
              <w:t>	Traducción autorizada:</w:t>
            </w:r>
          </w:p>
          <w:p>
            <w:pPr>
              <w:ind w:left="-284" w:right="-427"/>
              <w:jc w:val="both"/>
              <w:rPr>
                <w:rFonts/>
                <w:color w:val="262626" w:themeColor="text1" w:themeTint="D9"/>
              </w:rPr>
            </w:pPr>
            <w:r>
              <w:t>
                <w:p>
                  <w:pPr>
                    <w:ind w:left="-284" w:right="-427"/>
                    <w:jc w:val="both"/>
                    <w:rPr>
                      <w:rFonts/>
                      <w:color w:val="262626" w:themeColor="text1" w:themeTint="D9"/>
                    </w:rPr>
                  </w:pPr>
                  <w:r>
                    <w:t>			Sobrecarga precoz de líquidos en niños con shock y mortalidad en UCI: un estudio apareado de casos y controles</w:t>
                  </w:r>
                </w:p>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https://www.notasdeprensa.es/evidencias-en-pediatria-avance-del-numero-de_1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Infantil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