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Barro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EiDF presenta la revisión a su plan estratégico 2022-25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amplía sus previsiones de negocio hasta 2025 tras el alto grado de cumplimiento de los objetivos en el primer trimestre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Incrementa en un 33 % la cifra de negocio estimada para 2022 alcanzando los 299 millones de euros.</w:t>
            </w:r>
          </w:p>
          <w:p>
            <w:pPr>
              <w:ind w:left="-284" w:right="-427"/>
              <w:jc w:val="both"/>
              <w:rPr>
                <w:rFonts/>
                <w:color w:val="262626" w:themeColor="text1" w:themeTint="D9"/>
              </w:rPr>
            </w:pPr>
            <w:r>
              <w:t>El área de autoconsumo, la principal actividad de la empresa, es la que vertebra el crecimiento del grupo integrado. </w:t>
            </w:r>
          </w:p>
          <w:p>
            <w:pPr>
              <w:ind w:left="-284" w:right="-427"/>
              <w:jc w:val="both"/>
              <w:rPr>
                <w:rFonts/>
                <w:color w:val="262626" w:themeColor="text1" w:themeTint="D9"/>
              </w:rPr>
            </w:pPr>
            <w:r>
              <w:t>El grupo espera obtener 30 millones EBITDA, lo que supone un aumento del 15% con respecto al plan de negocio inicial publicado en noviembre.</w:t>
            </w:r>
          </w:p>
          <w:p>
            <w:pPr>
              <w:ind w:left="-284" w:right="-427"/>
              <w:jc w:val="both"/>
              <w:rPr>
                <w:rFonts/>
                <w:color w:val="262626" w:themeColor="text1" w:themeTint="D9"/>
              </w:rPr>
            </w:pPr>
            <w:r>
              <w:t>EiDF Solar hizo público su nuevo plan de negocio para los próximos años en la presentación realizada hoy ante analistas e inversores. La compañía, tras la presentación de los resultados del primer trimestre y el alto grado de cumplimiento de los objetivos (37 %) marcados en el plan de negocio inicial aprobado en noviembre, ha hecho una revisión al alza de sus previsiones.</w:t>
            </w:r>
          </w:p>
          <w:p>
            <w:pPr>
              <w:ind w:left="-284" w:right="-427"/>
              <w:jc w:val="both"/>
              <w:rPr>
                <w:rFonts/>
                <w:color w:val="262626" w:themeColor="text1" w:themeTint="D9"/>
              </w:rPr>
            </w:pPr>
            <w:r>
              <w:t>El actual plan de negocio recoge el crecimiento en las áreas de autoconsumo y generación, así como el efecto positivo de la integración de la comercialización. La compañía eleva en un 33% las previsiones de facturación para el presente ejercicio, al pasar de los 224 M€ iniciales a los 299M€ actuales, con un incremento del 15% en el EBITDA sobre el plan de negocio anterior.</w:t>
            </w:r>
          </w:p>
          <w:p>
            <w:pPr>
              <w:ind w:left="-284" w:right="-427"/>
              <w:jc w:val="both"/>
              <w:rPr>
                <w:rFonts/>
                <w:color w:val="262626" w:themeColor="text1" w:themeTint="D9"/>
              </w:rPr>
            </w:pPr>
            <w:r>
              <w:t>Para el periodo 2022-2025 estima un incremento de la cifra de negocio del 170% hasta alcanzar los 509 millones de euros en 2025. Cifra de EBITDA alcanzará en 2025 106M€, incrementándose un 353%.</w:t>
            </w:r>
          </w:p>
          <w:p>
            <w:pPr>
              <w:ind w:left="-284" w:right="-427"/>
              <w:jc w:val="both"/>
              <w:rPr>
                <w:rFonts/>
                <w:color w:val="262626" w:themeColor="text1" w:themeTint="D9"/>
              </w:rPr>
            </w:pPr>
            <w:r>
              <w:t>El área de autoconsumo, la principal actividad de la compañía sobre la que giran las demás, integra en el plan actual la venta de excedentes de energía de los contratos PPA’s en explotación (acuerdo de compraventa de energía). A cierre del primer semestre de año, EiDF cuenta con una cartera de proyectos de PPA’s por un volumen total de 67,5 MW. El autoconsumo, junto con el EPC para Generación son las unidades en las que EiDF alberga una amplia trayectoria y conocimiento, será la división que aporte una mayor cifra de EBITDA en 2022.</w:t>
            </w:r>
          </w:p>
          <w:p>
            <w:pPr>
              <w:ind w:left="-284" w:right="-427"/>
              <w:jc w:val="both"/>
              <w:rPr>
                <w:rFonts/>
                <w:color w:val="262626" w:themeColor="text1" w:themeTint="D9"/>
              </w:rPr>
            </w:pPr>
            <w:r>
              <w:t>*Se puede consultar el PLAN DE NEGOCIO completo en el siguiente enlace:  https://www.eidfsolar.es/accionistas-e-inversores/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Abalo </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617 854 893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https://www.notasdeprensa.es/eidf-presenta-la-revision-a-su-plan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