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Geneva el 13/03/2023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Dianova: 12 años de participación en la CND, la reunión anual más importante sobre políticas de drogas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duodécimo año consecutivo, la ONG Dianova participa junto a otras organizaciones para hacer oír la voz de la sociedad civil en las Naciones Unidas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66ª sesión anual de la Comisión de Estupefacientes de Naciones Unidas (CND) se reúne en Viena (Austria) del 13 al 17 de marzo, considerada como la reunión internacional más relevante sobre política de drogas, con la participación de representantes de los Estados miembros, organizaciones internacionales, el mundo académico y la sociedad civil.</w:t>
            </w:r>
          </w:p>
          <w:p>
            <w:pPr>
              <w:ind w:left="-284" w:right="-427"/>
              <w:jc w:val="both"/>
              <w:rPr>
                <w:rFonts/>
                <w:color w:val="262626" w:themeColor="text1" w:themeTint="D9"/>
              </w:rPr>
            </w:pPr>
            <w:r>
              <w:t>Durante la 66ª sesión anual de la Comisión de Estupefacientes de Naciones Unidas (más conocida por sus siglas en inglés, CND), los delegados debatirán sobre la situación mundial de las drogas y la aplicación de los compromisos políticos en materia de control de drogas, incluido el seguimiento de los compromisos asumidos en la Declaración Ministerial de 2019 sobre la cuestión mundial de las drogas y el documento final de la UNGASS sobre el problema mundial de las drogas del 2016.</w:t>
            </w:r>
          </w:p>
          <w:p>
            <w:pPr>
              <w:ind w:left="-284" w:right="-427"/>
              <w:jc w:val="both"/>
              <w:rPr>
                <w:rFonts/>
                <w:color w:val="262626" w:themeColor="text1" w:themeTint="D9"/>
              </w:rPr>
            </w:pPr>
            <w:r>
              <w:t>Compromiso de las organizaciones de la sociedad civilLas organizaciones de la sociedad civil también tendrán la oportunidad de dar a conocer sus puntos de vista o su trabajo durante la sesión: está previsto un número récord de más de 150 eventos paralelos, la mayoría de los cuales serán accesibles en línea, y se han enviado varias declaraciones escritas por adelantado a la secretaría de la Comisión, a las que habrá que sumar las declaraciones orales que se hagan in situ.</w:t>
            </w:r>
          </w:p>
          <w:p>
            <w:pPr>
              <w:ind w:left="-284" w:right="-427"/>
              <w:jc w:val="both"/>
              <w:rPr>
                <w:rFonts/>
                <w:color w:val="262626" w:themeColor="text1" w:themeTint="D9"/>
              </w:rPr>
            </w:pPr>
            <w:r>
              <w:t>En su declaración escrita sobre la promoción de políticas y servicios sensibles al género, Dianova International señala que ningún servicio o programa es neutro desde el punto de vista del género y que, de hecho, la mayoría están diseñados desde una perspectiva androcéntrica, es decir, centrados en las necesidades de los hombres – razón por la cual, en los programas mixtos, en los que la proporción de género está muy a menudo fuertemente sesgada en contra de las mujeres, estas tienen dificultades para mejorar su salud y bienestar.</w:t>
            </w:r>
          </w:p>
          <w:p>
            <w:pPr>
              <w:ind w:left="-284" w:right="-427"/>
              <w:jc w:val="both"/>
              <w:rPr>
                <w:rFonts/>
                <w:color w:val="262626" w:themeColor="text1" w:themeTint="D9"/>
              </w:rPr>
            </w:pPr>
            <w:r>
              <w:t>Leer la declaración de Dianova en la página web de la CND (seleccionar: inglés)</w:t>
            </w:r>
          </w:p>
          <w:p>
            <w:pPr>
              <w:ind w:left="-284" w:right="-427"/>
              <w:jc w:val="both"/>
              <w:rPr>
                <w:rFonts/>
                <w:color w:val="262626" w:themeColor="text1" w:themeTint="D9"/>
              </w:rPr>
            </w:pPr>
            <w:r>
              <w:t>Entre otras cosas, Dianova aboga por la formación de los profesionales del sector, el desarrollo de servicios para la primera infancia dentro de los servicios, así como la integración de la perspectiva de género en todos los servicios, independientemente de que sean mixtos o exclusivos para mujeres, personas no binarias u hombres.</w:t>
            </w:r>
          </w:p>
          <w:p>
            <w:pPr>
              <w:ind w:left="-284" w:right="-427"/>
              <w:jc w:val="both"/>
              <w:rPr>
                <w:rFonts/>
                <w:color w:val="262626" w:themeColor="text1" w:themeTint="D9"/>
              </w:rPr>
            </w:pPr>
            <w:r>
              <w:t>Eventos paralelosAdemás de las sesiones formales, los eventos paralelos y las exposiciones abordarán las preocupaciones actuales, las tendencias clave, y también porque es necesario crear masa crítica. A continuación, algunos de los eventos - de los cuales muchos han sido organizados o copatrocinados por Dianova- que se celebrarán durante la sesión:</w:t>
            </w:r>
          </w:p>
          <w:p>
            <w:pPr>
              <w:ind w:left="-284" w:right="-427"/>
              <w:jc w:val="both"/>
              <w:rPr>
                <w:rFonts/>
                <w:color w:val="262626" w:themeColor="text1" w:themeTint="D9"/>
              </w:rPr>
            </w:pPr>
            <w:r>
              <w:t>COPOLAD III – Cooperación UE/América Latina y Caribe:  and #39;Impulsando políticas de drogas centradas en las personas con un enfoque de desarrollo and #39;. Lunes, 13 de marzo de 13:10 - 14:00 CET (formato presencial, sala M2).</w:t>
            </w:r>
          </w:p>
          <w:p>
            <w:pPr>
              <w:ind w:left="-284" w:right="-427"/>
              <w:jc w:val="both"/>
              <w:rPr>
                <w:rFonts/>
                <w:color w:val="262626" w:themeColor="text1" w:themeTint="D9"/>
              </w:rPr>
            </w:pPr>
            <w:r>
              <w:t> and #39;Programas de prevención basados en datos para organizaciones juveniles y deportivas, familias y comunidad and #39;. Martes, 14 de marzo, 8:00 - 8:50 CET (formato híbrido, sala MOE07) – acceder al evento en línea – ver el flyer</w:t>
            </w:r>
          </w:p>
          <w:p>
            <w:pPr>
              <w:ind w:left="-284" w:right="-427"/>
              <w:jc w:val="both"/>
              <w:rPr>
                <w:rFonts/>
                <w:color w:val="262626" w:themeColor="text1" w:themeTint="D9"/>
              </w:rPr>
            </w:pPr>
            <w:r>
              <w:t> and #39;Entre los derechos humanos y el control de drogas: posibilidades y barreras para acabar con el estigma hacia los usuarios de drogas and #39;. Martes, 14 de marzo de 9:10 - 10:00 CET (formato presencial, sala M0E05) – </w:t>
            </w:r>
          </w:p>
          <w:p>
            <w:pPr>
              <w:ind w:left="-284" w:right="-427"/>
              <w:jc w:val="both"/>
              <w:rPr>
                <w:rFonts/>
                <w:color w:val="262626" w:themeColor="text1" w:themeTint="D9"/>
              </w:rPr>
            </w:pPr>
            <w:r>
              <w:t> and #39;Todo comienza con salud. Usar una perspectiva de salud en el consumo de sustancias para lograr amplias mejoras en las políticas gubernamentales y de drogas and #39;. Miércoles, 15 de marzo de 8:00 - 8:50 CET (formato presencial, sala MOE05).</w:t>
            </w:r>
          </w:p>
          <w:p>
            <w:pPr>
              <w:ind w:left="-284" w:right="-427"/>
              <w:jc w:val="both"/>
              <w:rPr>
                <w:rFonts/>
                <w:color w:val="262626" w:themeColor="text1" w:themeTint="D9"/>
              </w:rPr>
            </w:pPr>
            <w:r>
              <w:t> and #39;El impacto de las drogas en menores y jóvenes: respuestas efectivas and #39;. Miércoles,15 de marzo de 8:00 - 8:50 CET (formato presencial, sala M2).</w:t>
            </w:r>
          </w:p>
          <w:p>
            <w:pPr>
              <w:ind w:left="-284" w:right="-427"/>
              <w:jc w:val="both"/>
              <w:rPr>
                <w:rFonts/>
                <w:color w:val="262626" w:themeColor="text1" w:themeTint="D9"/>
              </w:rPr>
            </w:pPr>
            <w:r>
              <w:t> and #39;Drogas y justicia penal. Situación en América Latina y España and #39;. Miércoles, 15 de marzo de 13:00 -13:50 CET (formato híbrido, sala MOE100).</w:t>
            </w:r>
          </w:p>
          <w:p>
            <w:pPr>
              <w:ind w:left="-284" w:right="-427"/>
              <w:jc w:val="both"/>
              <w:rPr>
                <w:rFonts/>
                <w:color w:val="262626" w:themeColor="text1" w:themeTint="D9"/>
              </w:rPr>
            </w:pPr>
            <w:r>
              <w:t> and #39;Política de drogas con perspectiva de género, ¿qué implicaciones tienen? and #39; Jueves, 16 de marzo de 9:10 -10:00 CET (formato presencial, sala MOE79).</w:t>
            </w:r>
          </w:p>
          <w:p>
            <w:pPr>
              <w:ind w:left="-284" w:right="-427"/>
              <w:jc w:val="both"/>
              <w:rPr>
                <w:rFonts/>
                <w:color w:val="262626" w:themeColor="text1" w:themeTint="D9"/>
              </w:rPr>
            </w:pPr>
            <w:r>
              <w:t> and #39;De la Declaración de Mallorca al Informe Mundial Social en Nueva Delhi: oportunidades y retos de las comunidades terapéuticas al servicio de poblaciones vulnerables and #39;. Jueves, 16 de marzo de 13:10 – 14:00 CET (formato en línea).</w:t>
            </w:r>
          </w:p>
          <w:p>
            <w:pPr>
              <w:ind w:left="-284" w:right="-427"/>
              <w:jc w:val="both"/>
              <w:rPr>
                <w:rFonts/>
                <w:color w:val="262626" w:themeColor="text1" w:themeTint="D9"/>
              </w:rPr>
            </w:pPr>
            <w:r>
              <w:t>A tener en cuenta que algunos de estos eventos se podrán seguir de forma virtual y sin necesidad de registrarse para participar en la CND.</w:t>
            </w:r>
          </w:p>
          <w:p>
            <w:pPr>
              <w:ind w:left="-284" w:right="-427"/>
              <w:jc w:val="both"/>
              <w:rPr>
                <w:rFonts/>
                <w:color w:val="262626" w:themeColor="text1" w:themeTint="D9"/>
              </w:rPr>
            </w:pPr>
            <w:r>
              <w:t>Será una semana interesante donde se tratarán temas de política actual, se abordarán temas que requieren mayor atención, se presentarán buenas prácticas y se actualizará el sistema internacional de control de drogas.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Lucia Goberna Lehmann - Relaciones Internacionales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936365730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https://www.notasdeprensa.es/dianova-12-anos-de-participacion-en-la-cnd-la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Eventos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