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en Madrid la primera concentración del Programa de Desarrollo y Seguimiento de Jugadores en Formación de la RFET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de Desarrollo y Seguimiento de Jugadores en Formación de la Real Federación Española de Tenis (RFET) se ha completado este fin de semana en Madrid con la presencia de un total de 36 jugadores de categorías alevín e infantil, procedentes de cinco Federaciones Territoriales junto a los técnicos representantes de cada una de ellas.</w:t>
            </w:r>
          </w:p>
          <w:p>
            <w:pPr>
              <w:ind w:left="-284" w:right="-427"/>
              <w:jc w:val="both"/>
              <w:rPr>
                <w:rFonts/>
                <w:color w:val="262626" w:themeColor="text1" w:themeTint="D9"/>
              </w:rPr>
            </w:pPr>
            <w:r>
              <w:t>	Los jugadores convocados de Castilla y León, Castilla-La Mancha, La Rioja, Navarra y la Comunidad de Madrid, han participado durante tres días en una serie de propuestas de entrenamiento, control y valoración para consensuar las líneas de actuación en el desarrollo de estos jugadores y ofrecer un soporte científico-técnico desde la RFET a las Federaciones Territoriales.</w:t>
            </w:r>
          </w:p>
          <w:p>
            <w:pPr>
              <w:ind w:left="-284" w:right="-427"/>
              <w:jc w:val="both"/>
              <w:rPr>
                <w:rFonts/>
                <w:color w:val="262626" w:themeColor="text1" w:themeTint="D9"/>
              </w:rPr>
            </w:pPr>
            <w:r>
              <w:t>	El equipo técnico de la RFET ha estado acompañado por un grupo de investigación de la Universidad Miguel Hernández de Elche y de la Universidad Camilo José Cela, en cuyas instalaciones deportivas UCJC Sports Club han tenido lugar las sesiones de trabajo.</w:t>
            </w:r>
          </w:p>
          <w:p>
            <w:pPr>
              <w:ind w:left="-284" w:right="-427"/>
              <w:jc w:val="both"/>
              <w:rPr>
                <w:rFonts/>
                <w:color w:val="262626" w:themeColor="text1" w:themeTint="D9"/>
              </w:rPr>
            </w:pPr>
            <w:r>
              <w:t>	Las actividades llevadas a cabo han sido:</w:t>
            </w:r>
          </w:p>
          <w:p>
            <w:pPr>
              <w:ind w:left="-284" w:right="-427"/>
              <w:jc w:val="both"/>
              <w:rPr>
                <w:rFonts/>
                <w:color w:val="262626" w:themeColor="text1" w:themeTint="D9"/>
              </w:rPr>
            </w:pPr>
            <w:r>
              <w:t>		Situaciones de entrenamiento en pista</w:t>
            </w:r>
          </w:p>
          <w:p>
            <w:pPr>
              <w:ind w:left="-284" w:right="-427"/>
              <w:jc w:val="both"/>
              <w:rPr>
                <w:rFonts/>
                <w:color w:val="262626" w:themeColor="text1" w:themeTint="D9"/>
              </w:rPr>
            </w:pPr>
            <w:r>
              <w:t>		Análisis de la situación de competición mediante registro de la frecuencia cardiaca y seguimiento del patrón de actividad a través de los GPS</w:t>
            </w:r>
          </w:p>
          <w:p>
            <w:pPr>
              <w:ind w:left="-284" w:right="-427"/>
              <w:jc w:val="both"/>
              <w:rPr>
                <w:rFonts/>
                <w:color w:val="262626" w:themeColor="text1" w:themeTint="D9"/>
              </w:rPr>
            </w:pPr>
            <w:r>
              <w:t>		Análisis de variables neuromusculares: velocidad, agilidad, fuerza explosiva, dinamometría, potencia de salto</w:t>
            </w:r>
          </w:p>
          <w:p>
            <w:pPr>
              <w:ind w:left="-284" w:right="-427"/>
              <w:jc w:val="both"/>
              <w:rPr>
                <w:rFonts/>
                <w:color w:val="262626" w:themeColor="text1" w:themeTint="D9"/>
              </w:rPr>
            </w:pPr>
            <w:r>
              <w:t>		Análisis de parámetros relacionados con la prevención de lesiones (ROM y valoración de fuerza de cadera y hombro)</w:t>
            </w:r>
          </w:p>
          <w:p>
            <w:pPr>
              <w:ind w:left="-284" w:right="-427"/>
              <w:jc w:val="both"/>
              <w:rPr>
                <w:rFonts/>
                <w:color w:val="262626" w:themeColor="text1" w:themeTint="D9"/>
              </w:rPr>
            </w:pPr>
            <w:r>
              <w:t>		Análisis de la resistencia específica en pista de tenis</w:t>
            </w:r>
          </w:p>
          <w:p>
            <w:pPr>
              <w:ind w:left="-284" w:right="-427"/>
              <w:jc w:val="both"/>
              <w:rPr>
                <w:rFonts/>
                <w:color w:val="262626" w:themeColor="text1" w:themeTint="D9"/>
              </w:rPr>
            </w:pPr>
            <w:r>
              <w:t>		Análisis técnico de los golpes de fondo y golpeo de servicio a través del software Talent ID, con el visionado de las imágenes por los propios jugadores</w:t>
            </w:r>
          </w:p>
          <w:p>
            <w:pPr>
              <w:ind w:left="-284" w:right="-427"/>
              <w:jc w:val="both"/>
              <w:rPr>
                <w:rFonts/>
                <w:color w:val="262626" w:themeColor="text1" w:themeTint="D9"/>
              </w:rPr>
            </w:pPr>
            <w:r>
              <w:t>		Análisis téctico de los partidos de competición</w:t>
            </w:r>
          </w:p>
          <w:p>
            <w:pPr>
              <w:ind w:left="-284" w:right="-427"/>
              <w:jc w:val="both"/>
              <w:rPr>
                <w:rFonts/>
                <w:color w:val="262626" w:themeColor="text1" w:themeTint="D9"/>
              </w:rPr>
            </w:pPr>
            <w:r>
              <w:t>	Además de las recomendaciones que se han impartido in situ a jugadores y a técnicos, la RFET aportará un informe con los resultados de cada jugador/a y algunas orientaciones al respecto de los mismos.</w:t>
            </w:r>
          </w:p>
          <w:p>
            <w:pPr>
              <w:ind w:left="-284" w:right="-427"/>
              <w:jc w:val="both"/>
              <w:rPr>
                <w:rFonts/>
                <w:color w:val="262626" w:themeColor="text1" w:themeTint="D9"/>
              </w:rPr>
            </w:pPr>
            <w:r>
              <w:t>	Esta primera experiencia forma parte del Proyecto de Desarrollo de Jugadores a Largo Plazo (PJLP) de la RFET y es la primera de cuatro concentraciones que reunirán a unos 150 jugadores y jugadoras de estas categorías,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https://www.notasdeprensa.es/concluye-en-madrid-la-primera-concentracion_1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