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Comunicado por la muerte de Emilio Botín, presidente de Banco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Sabadell expresa su profundo pesar por el fallecimiento de Don Emilio Botín, presidente de Banco Santander, una figura crucial del sistema financiero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Josep Oliu, presidente de Banco Sabadell, ha manifestado que “en primer lugar, quisiera enviar mis condolencias a la familia y a todos los miembros del grupo Santander en estos momentos tan dolorosos”. La pérdida de don Emilio Botín “es especialmente significativa, puesto que ha sido el  principal impulsor del desarrollo nacional e internacional del primer grupo financiero de la zona euro y, actualmente, de uno de los diez mayores bancos del mundo”. El presidente de Banco Sabadell ha destacado también el “papel crucial que ha desarrollado en la renovación del sistema financiero, así como en  la modernización bancaria de España”. Josep Oliu ha afirmado finalmente que el presidente de Banco Santander “ personalizaba la tradición bancaria y deja tras de sí un sólido proyecto empresarial, tanto en nuestro país como en los mercados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https://www.notasdeprensa.es/comunicado-por-la-muerte-de-emilio-botin_1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