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23/09/2022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Complemento digital a los rodamientos: el Bearing Data Service de Schaeffler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servicio adicional, basado en datos, ahorra tiempo y costes, y garantiza un aumento de la transparencia en el montaje de los rodamientos para cabezal. Puede disponer en todo momento de los registros de medición e información logística para hacer el seguimiento de los rodamientos. Digitalización de los procesos de entrada y almacenamiento de mercancía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montaje correcto de rodamientos para cabezal es una de las tareas manuales más exigentes en la producción de cabezales. Es preciso observar las tolerancias de fabricación, recuperar los datos del rodamiento y el cabezal, y emparejar los rodamientos y distanciadores. Tras el montaje, es importante documentar todo el proceso. El nuevo Bearing Data Service de Schaeffler simplifica este procedimiento al poner digitalmente a su disposición todos los datos individuales de los rodamientos para cabezal, en particular los registros de medición obtenidos durante la fabricación, con la ayuda de un código Datamatrix (DMC) y una solución de entorno cloud.</w:t>
            </w:r>
          </w:p>
          <w:p>
            <w:pPr>
              <w:ind w:left="-284" w:right="-427"/>
              <w:jc w:val="both"/>
              <w:rPr>
                <w:rFonts/>
                <w:color w:val="262626" w:themeColor="text1" w:themeTint="D9"/>
              </w:rPr>
            </w:pPr>
            <w:r>
              <w:t>El DMC, de acuerdo con el estándar GS1, contiene el número de serie individual del rodamiento para su identificación inequívoca. Tras la implementación de una solución de software por parte del fabricante de cabezales, en cualquier momento es posible transmitir online, a través del número de serie, la fecha de fabricación, las tolerancias del diámetro, la desviación de la anchura, del ángulo de contacto. Los documentos del pedido, los archivos PDF o las listas Excel elaboradas manualmente, así como los pasos manuales asociados, con sus desafíos y problemas, por fin han pasado a la historia. El DMC posibilita una trazabilidad del 100% y la digitalización del proceso de entrada de mercancías permite que el fabricante de cabezales monitorice con fiabilidad sus propias existencias. Esto facilita el emparejamiento de rodamientos, ejes y soportes, y acelera el proceso de montaje de los cabezales.</w:t>
            </w:r>
          </w:p>
          <w:p>
            <w:pPr>
              <w:ind w:left="-284" w:right="-427"/>
              <w:jc w:val="both"/>
              <w:rPr>
                <w:rFonts/>
                <w:color w:val="262626" w:themeColor="text1" w:themeTint="D9"/>
              </w:rPr>
            </w:pPr>
            <w:r>
              <w:t>Información sobre la imagen adjunta: todos los rodamientos para cabezal de Schaeffler con un diámetro de agujero a partir de 25 mm, hasta un diámetro exterior de 320 mm, están marcados con un DMC.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https://www.notasdeprensa.es/complemento-digital-a-los-rodamientos-el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Farmacéutica E-Commerce Sostenibilidad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