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primer trimestre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sus ventas netas consolidadas alcanzaron los 3,400 millones de dólares durante el primer trimestre de 2015, un aumento del 7% en términos comparables para las operaciones existentes y ajustando por fluctuaciones cambiarias, respecto al mismo periodo en 2014. El flujo de operación aumentó en 6% durante el trimestre para ubicarse en 569 millones de dólares respecto al mismo periodo en 2014. En términos comparables el flujo de operación incrementó en 14% en el mismo periodo.</w:t>
            </w:r>
          </w:p>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términos comparables, de las ventas netas consolidadas fue resultado de mayores precios en moneda local para nuestros productos, en la mayoría de nuestras operaciones, así como mayores volúmenes en México, Estados Unidos y Asia.</w:t>
            </w:r>
          </w:p>
          <w:p>
            <w:pPr>
              <w:ind w:left="-284" w:right="-427"/>
              <w:jc w:val="both"/>
              <w:rPr>
                <w:rFonts/>
                <w:color w:val="262626" w:themeColor="text1" w:themeTint="D9"/>
              </w:rPr>
            </w:pPr>
            <w:r>
              <w:t>		En términos comparables, el resultado de operación antes de otros gastos, neto aumentó 33% en el primer trimestre, a 335 millones de dólares.</w:t>
            </w:r>
          </w:p>
          <w:p>
            <w:pPr>
              <w:ind w:left="-284" w:right="-427"/>
              <w:jc w:val="both"/>
              <w:rPr>
                <w:rFonts/>
                <w:color w:val="262626" w:themeColor="text1" w:themeTint="D9"/>
              </w:rPr>
            </w:pPr>
            <w:r>
              <w:t>		El flujo de operación creció 6% durante el trimestre y, en términos comparables aumentó 14%, para ubicarse en 569 millones de dólares.</w:t>
            </w:r>
          </w:p>
          <w:p>
            <w:pPr>
              <w:ind w:left="-284" w:right="-427"/>
              <w:jc w:val="both"/>
              <w:rPr>
                <w:rFonts/>
                <w:color w:val="262626" w:themeColor="text1" w:themeTint="D9"/>
              </w:rPr>
            </w:pPr>
            <w:r>
              <w:t>		El margen de flujo de operación creció 1.8 puntos porcentuales respecto al mismo trimestre del año anterior, alcanzando 16.7%.</w:t>
            </w:r>
          </w:p>
          <w:p>
            <w:pPr>
              <w:ind w:left="-284" w:right="-427"/>
              <w:jc w:val="both"/>
              <w:rPr>
                <w:rFonts/>
                <w:color w:val="262626" w:themeColor="text1" w:themeTint="D9"/>
              </w:rPr>
            </w:pPr>
            <w:r>
              <w:t>		Registramos una menor pérdida neta de la participación controladora de 149 millones de dólares durante el primer trimestre de 2015, en comparación con la pérdida de 293 millones de dólares en el mismo periodo del año pasado.</w:t>
            </w:r>
          </w:p>
          <w:p>
            <w:pPr>
              <w:ind w:left="-284" w:right="-427"/>
              <w:jc w:val="both"/>
              <w:rPr>
                <w:rFonts/>
                <w:color w:val="262626" w:themeColor="text1" w:themeTint="D9"/>
              </w:rPr>
            </w:pPr>
            <w:r>
              <w:t>		El flujo de efectivo libre después de activo fijo de mantenimiento para el trimestre fue una pérdida de 281 millones de dólares, comparado con la pérdida de 454 millones de dólares del mismo trimestre de 2014.</w:t>
            </w:r>
          </w:p>
          <w:p>
            <w:pPr>
              <w:ind w:left="-284" w:right="-427"/>
              <w:jc w:val="both"/>
              <w:rPr>
                <w:rFonts/>
                <w:color w:val="262626" w:themeColor="text1" w:themeTint="D9"/>
              </w:rPr>
            </w:pPr>
            <w:r>
              <w:t>	Fernando González Olivieri, Director General de CEMEX, expresó: "Estamos complacidos con nuestros resultados del primer trimestre. Nuestras ventas netas aumentaron en 7% mientras que el flujo de operación mejoró en 14%, en términos comparables. El flujo de operación generado fue el más alto en un primer trimestre desde el 2008, a pesar de fluctuaciones cambiarias adversas. El margen de flujo de operación se expandió en 1.8 puntos porcentuales.</w:t>
            </w:r>
          </w:p>
          <w:p>
            <w:pPr>
              <w:ind w:left="-284" w:right="-427"/>
              <w:jc w:val="both"/>
              <w:rPr>
                <w:rFonts/>
                <w:color w:val="262626" w:themeColor="text1" w:themeTint="D9"/>
              </w:rPr>
            </w:pPr>
            <w:r>
              <w:t>	Nos alienta el desempeño de nuestras operaciones en México, donde los volúmenes de cemento del primer trimestre crecieron 13%, alcanzando su mayor nivel en seis años. En el trimestre, además de ver crecimiento sostenido en nuestros volúmenes a los sectores industrial, comercial y residencial formal, también vimos un incremento en los sectores infraestructura y residencial informal. La demanda de cemento del sector infraestructura creció 6%, estableciendo un punto de inflexión impulsado por el aumento en obra pública, mientras que la demanda del sector informal creció 11% como resultado de una mayor confianza del consumidor reflejo de mejoras en niveles de empleo, ingreso disponible y remesas".</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primer trimestre de 2015 registramos una pérdida neta de la participación controladora de 149 millones de dólares, lo que representa una mejora sobre la pérdida de 293 millones de dólares en el mismo periodo del año pasado.</w:t>
            </w:r>
          </w:p>
          <w:p>
            <w:pPr>
              <w:ind w:left="-284" w:right="-427"/>
              <w:jc w:val="both"/>
              <w:rPr>
                <w:rFonts/>
                <w:color w:val="262626" w:themeColor="text1" w:themeTint="D9"/>
              </w:rPr>
            </w:pPr>
            <w:r>
              <w:t>	La deuda total más notas perpetuas aumentó en 417 millones de dólares durante el trimestre.</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Nuestras operaciones en México aumentaron 4% en el primer trimestre de 2015 a 766 millones de dólares, comparado con 737 millones de dólares en el primer trimestre del 2014. El flujo de operación incrementó en 4% a 262 millones de dólares, respecto al mismo periodo del año anterior.</w:t>
            </w:r>
          </w:p>
          <w:p>
            <w:pPr>
              <w:ind w:left="-284" w:right="-427"/>
              <w:jc w:val="both"/>
              <w:rPr>
                <w:rFonts/>
                <w:color w:val="262626" w:themeColor="text1" w:themeTint="D9"/>
              </w:rPr>
            </w:pPr>
            <w:r>
              <w:t>	Las ventas netas de CEMEX en Estados Unidos reportaron ventas netas por 868 millones de dólares en el primer trimestre del 2015, un incremento de 10% en relación al mismo periodo del 2014. El flujo de operación fue 64 millones de dólares durante el trimestre, en comparación con 28 millones de dólares en el mismo trimestre del 2014.</w:t>
            </w:r>
          </w:p>
          <w:p>
            <w:pPr>
              <w:ind w:left="-284" w:right="-427"/>
              <w:jc w:val="both"/>
              <w:rPr>
                <w:rFonts/>
                <w:color w:val="262626" w:themeColor="text1" w:themeTint="D9"/>
              </w:rPr>
            </w:pPr>
            <w:r>
              <w:t>	En el Norte de Europa, las ventas netas del primer trimestre del 2015 disminuyeron 23% a 701 millones de dólares comparado con 912 millones de dólares en el primer trimestre del 2014. El flujo de operación fue 36 millones de dólares en el trimestre, comparado con 13 millones en el mismo periodo del año pasado. En términos comparables para las operaciones existentes y ajustando por fluctuaciones cambiarias, las ventas netas permanecieron sin cambio y el flujo de operación aumentó en 80%, respecto al mismo periodo del año anterior.</w:t>
            </w:r>
          </w:p>
          <w:p>
            <w:pPr>
              <w:ind w:left="-284" w:right="-427"/>
              <w:jc w:val="both"/>
              <w:rPr>
                <w:rFonts/>
                <w:color w:val="262626" w:themeColor="text1" w:themeTint="D9"/>
              </w:rPr>
            </w:pPr>
            <w:r>
              <w:t>	Las ventas netas para el primer trimestre en la región Mediterráneo registraron 375 millones de dólares, una disminución del 9% con respecto a 412 millones de dólares durante el primer trimestre del 2014. El flujo de operación disminuyó 11% a 73 millones de dólares durante el trimestre, respecto al mismo periodo del año anterior. En términos comparables para las operaciones existentes y ajustando por fluctuaciones cambiarias, las ventas netas aumentaron 2% y el flujo de operación disminuyó 3%, respecto al mismo periodo del año anterior.</w:t>
            </w:r>
          </w:p>
          <w:p>
            <w:pPr>
              <w:ind w:left="-284" w:right="-427"/>
              <w:jc w:val="both"/>
              <w:rPr>
                <w:rFonts/>
                <w:color w:val="262626" w:themeColor="text1" w:themeTint="D9"/>
              </w:rPr>
            </w:pPr>
            <w:r>
              <w:t>	Las operaciones de CEMEX en América Central, del Sur y el Caribe reportaron ventas de 468 millones de dólares durante el primer trimestre del 2015, representando una disminución de 13% respecto al mismo periodo del 2014. El flujo de operación disminuyó 21% a 148 millones de dólares en el primer trimestre del 2015 en comparación con 187 millones de dólares en el primer trimestre del 2014.</w:t>
            </w:r>
          </w:p>
          <w:p>
            <w:pPr>
              <w:ind w:left="-284" w:right="-427"/>
              <w:jc w:val="both"/>
              <w:rPr>
                <w:rFonts/>
                <w:color w:val="262626" w:themeColor="text1" w:themeTint="D9"/>
              </w:rPr>
            </w:pPr>
            <w:r>
              <w:t>	Las ventas netas en Asia reportaron un incremento de 13% en las ventas netas para el primer trimestre del 2015 a 164 millones de dólares, respecto al primer trimestre del 2014, y el flujo de operación alcanzó 37 millones de dólares, un incremento de 43% respecto al mismo periodo del año anterior.</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https://www.notasdeprensa.es/cemex-da-a-conocer-resultados-para-el-primer_3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