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Casual Hoteles consolida su posición financiera gracias a los buenos resultados obtenidos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cifras de los primeros siete meses de 2022 denotan un crecimiento exponencial respecto al 2019, con unas ventas a 31 de julio de 2022 por valor de 11.016.119€, una cifra cercana a la de todo el año 2019, que ascendió a 11.847.450€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valenciana fundada en 2013 por Juan Carlos Sanjuan está presente en 11 ciudades en España y Portugal y cuenta con más de 270 empleados. En julio de 2022 ha vuelto a superar los dos millones de facturación mensuales llegando hasta loS 2.256.019,89€ demostrando su buena salud financiera. </w:t>
            </w:r>
          </w:p>
          <w:p>
            <w:pPr>
              <w:ind w:left="-284" w:right="-427"/>
              <w:jc w:val="both"/>
              <w:rPr>
                <w:rFonts/>
                <w:color w:val="262626" w:themeColor="text1" w:themeTint="D9"/>
              </w:rPr>
            </w:pPr>
            <w:r>
              <w:t>Casual Hoteles fue creada en Valencia en 2013 por el actual presidente Juan Carlos Sanjuan con la intención de ser la empresa de referencia en el sector de alojamiento urbano y temático en España ofreciendo altos estándares de calidad y servicio a un precio asequible. Del mismo modo, contribuyendo también a la proyección turística, cultural, social y económica de las ciudades que se ubican sus establecimientos.</w:t>
            </w:r>
          </w:p>
          <w:p>
            <w:pPr>
              <w:ind w:left="-284" w:right="-427"/>
              <w:jc w:val="both"/>
              <w:rPr>
                <w:rFonts/>
                <w:color w:val="262626" w:themeColor="text1" w:themeTint="D9"/>
              </w:rPr>
            </w:pPr>
            <w:r>
              <w:t>La empresa valenciana está superando las cifras anteriores al parón económico de dos años que fueron provocados por la crisis sanitaria de la COVID-19 tal como muestran las cifras cosechadas en el presente año. </w:t>
            </w:r>
          </w:p>
          <w:p>
            <w:pPr>
              <w:ind w:left="-284" w:right="-427"/>
              <w:jc w:val="both"/>
              <w:rPr>
                <w:rFonts/>
                <w:color w:val="262626" w:themeColor="text1" w:themeTint="D9"/>
              </w:rPr>
            </w:pPr>
            <w:r>
              <w:t>Las cifras de los primeros siete meses de 2022 denotan un crecimiento exponencial respecto al 2019, con unas ventas a 31 de julio de 2022 por valor de 11.016.119€, una cifra cercana a la de todo el año 2019, que ascendió a 11.847.450€. En los hoteles abiertos de la cadena en 2019 el incremento de la facturación a 31 de Julio 2022 ha sido del 26,46%.</w:t>
            </w:r>
          </w:p>
          <w:p>
            <w:pPr>
              <w:ind w:left="-284" w:right="-427"/>
              <w:jc w:val="both"/>
              <w:rPr>
                <w:rFonts/>
                <w:color w:val="262626" w:themeColor="text1" w:themeTint="D9"/>
              </w:rPr>
            </w:pPr>
            <w:r>
              <w:t>Las cifras relacionadas con los clientes son otra muestra de la capacidad que ha tenido la cadena para ajustarse a una demanda más exigente, que reserva con menor antelación, desea tarifas más flexibles y más seguridad en sus viajes. La anticipación de las reservas en julio de 2019 era de 50,09 días mientras que en el mismo mes de 2022 se ha situado en 22,54 días. </w:t>
            </w:r>
          </w:p>
          <w:p>
            <w:pPr>
              <w:ind w:left="-284" w:right="-427"/>
              <w:jc w:val="both"/>
              <w:rPr>
                <w:rFonts/>
                <w:color w:val="262626" w:themeColor="text1" w:themeTint="D9"/>
              </w:rPr>
            </w:pPr>
            <w:r>
              <w:t>Casual Hoteles ha recuperado gran parte del mercado internacional y se ha posicionado en nuevos mercados. En 2019 la nacionalidad de los usuarios era de un 29,2% españoles, un 10% italianos y un 6,8% franceses. En 2022 estas cifras se distribuyen en un 36,1% de españoles, 8% de italianos, 5,9% de franceses y un 4,5% de estadounidenses. </w:t>
            </w:r>
          </w:p>
          <w:p>
            <w:pPr>
              <w:ind w:left="-284" w:right="-427"/>
              <w:jc w:val="both"/>
              <w:rPr>
                <w:rFonts/>
                <w:color w:val="262626" w:themeColor="text1" w:themeTint="D9"/>
              </w:rPr>
            </w:pPr>
            <w:r>
              <w:t>Actualmente, los principales objetivos del presidente de Casual Hoteles, Juan Carlos Sanjuan, son consolidar la posición financiera, reducir los niveles de deuda neta y garantizar la viabilidad futura de la marca.</w:t>
            </w:r>
          </w:p>
          <w:p>
            <w:pPr>
              <w:ind w:left="-284" w:right="-427"/>
              <w:jc w:val="both"/>
              <w:rPr>
                <w:rFonts/>
                <w:color w:val="262626" w:themeColor="text1" w:themeTint="D9"/>
              </w:rPr>
            </w:pPr>
            <w:r>
              <w:t>Casual Hoteles suma un total de 893 habitaciones a lo largo de toda la Península Ibérica. La intención según Sanjuan es finalizar el año 2022 con más de 1.000. Del mismo modo, cuenta con 21 hoteles temáticos y presencia en 11 ciudades repartidas entre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Garrido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951962730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https://www.notasdeprensa.es/casual-hoteles-consolida-su-posicion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