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30% de las facturas electrónicas proceden de empresas del Sector Secundario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El uso de la factura electrónica entre las empresas de este sector experimentó un significativo descenso porcentual, tanto en empresas emisoras (-13,99%) como receptoras (-8,61%), derivado del incremento del uso de la e-factura en otros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27,81% de las empresas emisoras de factura electrónica y el 28,07% % de las receptoras pertenecen a las empresas del Sector Secundario, según el Estudio SERES de Implantación de la Factura Electrónica en España 2019. En ese año, el uso de la factura electrónica entre las empresas de este sector experimentó un significativo descenso porcentual, tanto en empresas emisoras (-13,99%) como receptoras (-8,61%), derivado del incremento del uso de la e-factura en otros sectores. En todo caso las cifras en el Sector Secundario continúan siendo altas y se sitúan en ambos casos cercanas al 30%.</w:t>
            </w:r>
          </w:p>
          <w:p>
            <w:pPr>
              <w:ind w:left="-284" w:right="-427"/>
              <w:jc w:val="both"/>
              <w:rPr>
                <w:rFonts/>
                <w:color w:val="262626" w:themeColor="text1" w:themeTint="D9"/>
              </w:rPr>
            </w:pPr>
            <w:r>
              <w:t>El Sector Secundario junto al Terciario siguen siendo los más activos en el uso de la factura electrónica. Según Alberto Redondo, CMO de SERES para Iberia y LATAM “la excelente salud de la factura electrónica en el Sector Secundario es una buena noticia que refleja una progresiva transformación del modelo productivo en nuestro país, que completa y compite con el sector Servicios. Por su parte, la variación negativa se justifica en la emergencia de la factura electrónica en otros ámbitos de actividad”.</w:t>
            </w:r>
          </w:p>
          <w:p>
            <w:pPr>
              <w:ind w:left="-284" w:right="-427"/>
              <w:jc w:val="both"/>
              <w:rPr>
                <w:rFonts/>
                <w:color w:val="262626" w:themeColor="text1" w:themeTint="D9"/>
              </w:rPr>
            </w:pPr>
            <w:r>
              <w:t>Por sector de actividadPor actividad, el Sector servicios es donde la factura electrónica tiene un mayor grado de implantación, tanto en emisión (64,06%) como en recepción (61,80%), con un aumento del 8,14% y el 3,35% respectivamente respecto a 2018. Le sigue Industria, con un 27,81% de empresas emisoras y un 28,07% de receptoras, pero con una reducción del 13,99% y del 8,61% respectivamente sobre 2018. Por su parte, en el Sector primario, la implantación de la factura electrónica es del 3,66% en emisión y un 3,64% en recepción, con una variación positiva en torno al medio punto en ambos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https://www.notasdeprensa.es/casi-el-30-de-las-facturas-electronicas_1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