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 asume los gastos de notaría en la compraventa de 1.200 inmuebles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inmobiliario financiará hasta un importe de 500€ en residencial y de 1.000€ en terciario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 la emergencia sanitaria a mediados de marzo dejó a muchos interesados en adquirir una propiedad sin posibilidad de maniobra para continuar con su búsqueda o proceso de compraventa. Ahora que el mercado inmobiliario se reactiva poco a poco, es el momento de retomar la intención de compra. Aunque, en términos generales, el sector es positivo y prevé que lo ocurrido sea algo coyuntural, la incertidumbre sobre lo que pasará en los próximos meses ha provocado que mucha de esta demanda ya no sienta la misma seguridad que antes a la hora de realizar un desembolso de este tipo.</w:t>
            </w:r>
          </w:p>
          <w:p>
            <w:pPr>
              <w:ind w:left="-284" w:right="-427"/>
              <w:jc w:val="both"/>
              <w:rPr>
                <w:rFonts/>
                <w:color w:val="262626" w:themeColor="text1" w:themeTint="D9"/>
              </w:rPr>
            </w:pPr>
            <w:r>
              <w:t>Por este motivo, con el objetivo de ayudar económicamente a estos futuros compradores y que, así, puedan cumplir con su propósito de adquirir un nuevo inmueble, Casaktua.com ha lanzado la séptima edición de su campaña “Gastos de notaría gratis en la compraventa”.</w:t>
            </w:r>
          </w:p>
          <w:p>
            <w:pPr>
              <w:ind w:left="-284" w:right="-427"/>
              <w:jc w:val="both"/>
              <w:rPr>
                <w:rFonts/>
                <w:color w:val="262626" w:themeColor="text1" w:themeTint="D9"/>
              </w:rPr>
            </w:pPr>
            <w:r>
              <w:t>A través de esta promoción, vigente hasta el 31 de julio, el portal inmobiliario ofrece 1.200 activos a precios ajustados y se hace cargo de los costes notariales derivados de su compraventa, hasta un importe de 500€ en residencial y de 1.000€ en terciario.</w:t>
            </w:r>
          </w:p>
          <w:p>
            <w:pPr>
              <w:ind w:left="-284" w:right="-427"/>
              <w:jc w:val="both"/>
              <w:rPr>
                <w:rFonts/>
                <w:color w:val="262626" w:themeColor="text1" w:themeTint="D9"/>
              </w:rPr>
            </w:pPr>
            <w:r>
              <w:t>La campaña de Casaktua.com incluye, principalmente, viviendas. En su mayoría son pisos y chalés y se encuentran distribuidos, sobre todo, en Andalucía (230), Comunidad Valenciana (130), Cataluña (120), Castilla La Mancha (60), Castilla y León (50), Galicia (40), Aragón (30), Región de Murcia (30) y Asturias (30).</w:t>
            </w:r>
          </w:p>
          <w:p>
            <w:pPr>
              <w:ind w:left="-284" w:right="-427"/>
              <w:jc w:val="both"/>
              <w:rPr>
                <w:rFonts/>
                <w:color w:val="262626" w:themeColor="text1" w:themeTint="D9"/>
              </w:rPr>
            </w:pPr>
            <w:r>
              <w:t>Estos inmuebles residenciales tienen un precio medio de 75.000€ y una superficie media de 105m2. Las comunidades más económicas para comprar una vivienda dentro de esta promoción son Castilla- La Mancha, Andalucía y Castilla y León, con unos precios medios inferiores a 70.000€. El resto, rondan los 70.000€-90.000€, a excepción de Cataluña, cuyos inmuebles cuentan con un coste medio de 91.700€.</w:t>
            </w:r>
          </w:p>
          <w:p>
            <w:pPr>
              <w:ind w:left="-284" w:right="-427"/>
              <w:jc w:val="both"/>
              <w:rPr>
                <w:rFonts/>
                <w:color w:val="262626" w:themeColor="text1" w:themeTint="D9"/>
              </w:rPr>
            </w:pPr>
            <w:r>
              <w:t>Junto a las viviendas, la promoción de Casaktua.com se hace cargo de los gastos notariales de otro tipo de inmuebles, como garajes, cuyo precio medio se ubica en los 7.600€ y que disponen de 21m2 de superficie media, y locales (61.900€ y 129m2, de promedio).</w:t>
            </w:r>
          </w:p>
          <w:p>
            <w:pPr>
              <w:ind w:left="-284" w:right="-427"/>
              <w:jc w:val="both"/>
              <w:rPr>
                <w:rFonts/>
                <w:color w:val="262626" w:themeColor="text1" w:themeTint="D9"/>
              </w:rPr>
            </w:pPr>
            <w:r>
              <w:t>La campaña también incluye, aunque en menor medida, naves (105.300€), trasteros (5.000€) y suelos (102.900€).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https://www.notasdeprensa.es/casaktua-asume-los-gastos-de-notaria-en-la_1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