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Carmila y El Consejo Andaluz de Cámaras renuevan su colaboración para impulsar el comercio de la región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colaboración con la empresa que gestiona las galerías comerciales de los 20 centros de Carrefour en Andalucía permite reforzar los lazos cada vez más estrechos para dinamizar el comercio y apoyar a los pequeños emprendedores locales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Andaluz de Cámaras de Comercio y Carmila han firmado un nuevo acuerdo de colaboración por segundo año consecutivo con el objetivo de impulsar la actividad comercial y el empleo de la comunidad autónoma a través de los 20 centros comerciales contiguos a hipermercados Carrefour en Andalucía, de los 78 que posee en toda España. Estas galerías comerciales en los centros andaluces ocupan una superficie de más de 420.000 m².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renovación se engloba en la estrategia de innovación y Responsabilidad Social Corporativa de la compañía bajo su programa “Aquí Actuamos” por el territorio, y se pondrán en marcha, una vez más, varias iniciativas entre las que se encuentran la organización de webinars y talleres relacionados con las últimas tendencias en el sector retail y comercio a disposición de los comerciantes de los centros que la inmobiliaria gestiona en Andalucía.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Carmila estará presente y colaborará en los eventos organizados por las diferentes Cámaras de Comercio participando en foros de empleo, realizando ponencias, jornadas formativas y acciones de lanzamiento para comerciantes y emprendedores. Todas estas actividades nacen con el objetivo de potenciar el desarrollo de la actividad de los operadores, aumentar su visibilidad y mejorar sus estrategias.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renovación del acuerdo se ha hecho efectiva con la firma de la directora gerente de las Cámaras andaluzas, Mercedes León, y la Presidenta-Directora General de Carmila, Marie Cheval, que estuvieron acompañadas de la secretaria general del Consejo cameral andaluz, Estrella Freire, y el Director General de Camila en España e Italia, Sebastián Palacios. Con este convenio se pretende conectar cada vez más a la inmobiliaria con comerciantes y pequeños emprendedores locales para fomentar el desarrollo de sus proyectos y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directora gerente del Consejo Andaluz de Cámaras, Mercedes León, considera este convenio “un impulso a la colaboración efectiva con la iniciativa privada para dinamizar la actividad del comercio andaluz y para fomentar nuevos proyectos generadores de empleo y riqueza, aprovechando el lugar privilegiado y las potencialidades que ofrecen estos los locales anexos a estos hipermercados”.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“Estar cerca de los comerciantes y pequeños emprendedores andaluces es primordial. Ésta es la región donde se encuentra la mayor parte de nuestros centros y nuestro principal objetivo es impulsar la actividad comercial y el empleo en la región”, declara Marie Cheval, CEO de Carmila.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Andaluz de Cámaras de Comercio refuerza su función y compromiso con el desarrollo del comercio en la región, llevando a cabo planes de acción y proyectos dirigidos al despegue de pequeñas y medianas empresas del sector como se recoge en este convenio. Además, Carmila sigue apostando por la integración local en sus diferentes áreas de influencia, creando sinergias que potencien el comercio.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Calle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917 81 39 87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https://www.notasdeprensa.es/carmila-y-el-consejo-andaluz-de-camaras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Inmobiliaria Andalucia Emprendedores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