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Black Friday Inmobiliario: más de 4.100 inmuebles de Solvia a precios ajustados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se encuentra en una situación de crecimiento, especialmente en el mercado de la vivienda, con un repunte de compraventas del 14% durante los ocho primeros meses del año, en comparación con el mismo periodo de 2019. Conscientes de este contexto, Solvia ofrece una selección de viviendas, garajes, trasteros, locales, oficinas, naves y suelos, tanto de obra nueva como de segunda mano, al mejor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Black Friday da el pistoletazo de salida a la campaña navideña, y Solvia ha decidido unirse a esta iniciativa lanzando la promoción ‘Inmuebles al mejor precio’, compuesta por más de 4.100 activos a precios ajustados. El objetivo de la firma de servicios inmobiliarios es acercar a grandes y pequeños inversores una cartera de inmuebles a precios reducidos, con el fin de ayudarles a obtener grandes rentabilidades y aprovecharse de la situación de crecimiento en la que se encuentra el Real Estate.</w:t>
            </w:r>
          </w:p>
          <w:p>
            <w:pPr>
              <w:ind w:left="-284" w:right="-427"/>
              <w:jc w:val="both"/>
              <w:rPr>
                <w:rFonts/>
                <w:color w:val="262626" w:themeColor="text1" w:themeTint="D9"/>
              </w:rPr>
            </w:pPr>
            <w:r>
              <w:t>Según el último Informe de Estabilidad Financiera de Otoño del Banco de España, el sector inmobiliario muestra un importante repunte en la compraventa de viviendas durante los ocho primeros meses del 2021 (+14% en comparación con el mismo periodo de 2019). Una situación de expansión que, aunque tiene al mercado residencial a la cabeza, también comienza a presentar signos de recuperación en cuanto a inversión en otros ámbitos como el terciario o la gestión y comercialización de suelos.</w:t>
            </w:r>
          </w:p>
          <w:p>
            <w:pPr>
              <w:ind w:left="-284" w:right="-427"/>
              <w:jc w:val="both"/>
              <w:rPr>
                <w:rFonts/>
                <w:color w:val="262626" w:themeColor="text1" w:themeTint="D9"/>
              </w:rPr>
            </w:pPr>
            <w:r>
              <w:t>Teniendo presente este contexto, la promoción de Solvia, que estará vigente hasta final de año, ofrece viviendas, garajes, trasteros, locales, oficinas, naves y suelos, tanto de obra nueva como de segunda mano, repartidos por toda la geografía española. Especialmente, en la Comunidad Valenciana (1.120 inmuebles), Cataluña (700), Andalucía (370), Comunidad de Madrid (360), Castilla y León (350), Región de Murcia (310), Castilla-La Mancha (290), Principado de Asturias (140), Galicia (120), Extremadura (80), Aragón (70) e Islas Canarias (60).</w:t>
            </w:r>
          </w:p>
          <w:p>
            <w:pPr>
              <w:ind w:left="-284" w:right="-427"/>
              <w:jc w:val="both"/>
              <w:rPr>
                <w:rFonts/>
                <w:color w:val="262626" w:themeColor="text1" w:themeTint="D9"/>
              </w:rPr>
            </w:pPr>
            <w:r>
              <w:t>Los activos residenciales seleccionados, 1.400 en total, tienen un precio medio de 87.000 € y una superficie de 110 m2 de promedio, lo que se corresponde con un coste de 791 €/m2, un 52 % por debajo de los 1.649 €/m2 registrados por el Ministerio de Transporte, Movilidad y Agenda Urbana para la vivienda libre en España.</w:t>
            </w:r>
          </w:p>
          <w:p>
            <w:pPr>
              <w:ind w:left="-284" w:right="-427"/>
              <w:jc w:val="both"/>
              <w:rPr>
                <w:rFonts/>
                <w:color w:val="262626" w:themeColor="text1" w:themeTint="D9"/>
              </w:rPr>
            </w:pPr>
            <w:r>
              <w:t>En cuanto a los garajes y trasteros, con una selección de 1.600 inmuebles, el coste promedio es de 7.400 € y de 1.800 €, respectivamente, y la superficie media de 18 m2 en las plazas de aparcamiento y de 7 m2 en los trasteros.</w:t>
            </w:r>
          </w:p>
          <w:p>
            <w:pPr>
              <w:ind w:left="-284" w:right="-427"/>
              <w:jc w:val="both"/>
              <w:rPr>
                <w:rFonts/>
                <w:color w:val="262626" w:themeColor="text1" w:themeTint="D9"/>
              </w:rPr>
            </w:pPr>
            <w:r>
              <w:t>Dentro de los activos terciarios, la campaña incluye 520 locales y oficinas de 117.800 € de media y 209 m2 de promedio. Las naves, por su parte, cuentan con un precio medio de 245.000 € y 1.507 m2 de superficie media.</w:t>
            </w:r>
          </w:p>
          <w:p>
            <w:pPr>
              <w:ind w:left="-284" w:right="-427"/>
              <w:jc w:val="both"/>
              <w:rPr>
                <w:rFonts/>
                <w:color w:val="262626" w:themeColor="text1" w:themeTint="D9"/>
              </w:rPr>
            </w:pPr>
            <w:r>
              <w:t>Junto a los anteriores, la firma de servicios inmobiliarios también ofrece interesantes oportunidades en suelos, gracias a una cartera seleccionada de 540 parcelas con un coste medio de 132.500€.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https://www.notasdeprensa.es/black-friday-inmobiliario-mas-de-4-100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