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BIM suma una inversión de casi 6.000 millones en las licitaciones públicas de los últimos seis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Cataluña lidera el ranking de implantación de la metodología de trabajo colaborativo Building Information Modeling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BIM se ha convertido en una metodología clave en estos últimos años en las licitaciones públicas en España. Sus ventajas, entre ellas la eficiencia y la reducción de costes en los procesos de proyectos del sector AECO, donde Building Information Modeling permite anticiparse a posibles errores, unificar recursos mediante la colaboración entre todos los agentes implicados y garantizar óptimos resultados de calidad, hacen que esta tecnología y filosofía de trabajo sea cada vez más un requisito imprescindible.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lo reflejan los datos del Observatorio CBIM del Ministerio de Transportes, Movilidad y Agenda Urbana, que reflejan una inversión acumulada en metodología BIM de 5.993 millones de euros en las licitaciones públicas de los últimos seis años. Según estas cifras, de 2017 a 2022 se han publicado un total de 2.214 licitaciones en base a dicha metodología en España, siendo Cataluña la comunidad autónoma que lidera el ranking de implantación BIM, seguida por la Comunidad de Madrid, Comunidad Valenciana, Andalucía, Islas Canarias, Castilla y León, Región de Murcia y País Vasco. Aunque en menor medida, Building Information también está presente en proyectos públicos de Extremadura, Galicia, Castilla-La Mancha, Principado de Asturias, Islas Baleares, Aragón, Cantabria, Ceuta o Navarra. Se trata de una tecnología que se aplica sobre todo en las fases de construcción, dirección de obra y asistencia técnica de obra, redacción del proyecto básico y ejecución.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ahí que cada vez más profesionales opten por formarse de manera especializada en esta metodología de trabajo, en especial a través de alguno de los máster BIM online que oferta el mercado, entre los que destaca el demandado Máster BIM Manager Internacional (+VR).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oportunidad de dominar una tecnología que permite aplicar sus ventajas a cualquier ámbito de la sociedad, mejorando el modo de vida de las personas. Según el análisis del Observatorio CBIM centrado en los sectores de la Edificación y las Infraestructuras, se detecta una tendencia al alza en los últimos años de la implantación BIM en Edificación, sobre todo en los ámbitos administrativo, de viviendas, de educación y sanitario, y en menor medida en los sectores cultural, de transporte, deportivo o eclesiástico. Mientras que en lo que se refiere a Infraestructuras, Building Information Modeling está presente sobre todo en carreteras y ferrocarril, y en menor medida en los ámbitos marítimo y sanitario.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Observatorio CBIM u Observatorio de Licitaciones Públicas BIM fue creado en mayo de 2017 por el Ministerio de Transportes, Movilidad y Agenda Urbana con el objetivo de estudiar y conocer el avance de la implantación de dicha metodología de trabajo colaborativo en España. Para ello, se revisa periódicamente la publicación de licitaciones públicas en el Boletín Oficial del Estado y otros boletines, identificando la incorporación de requisitos BIM, y se realiza un análisis cuantitativo y cualitativo de dicha información que da muestra de la progresión en este sentido a lo largo de los 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Etxeberria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649 71 88 24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https://www.notasdeprensa.es/bim-suma-una-inversion-de-casi-6-000-millones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Software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