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se actualiza junto a la buildingSMART Spain, que afronta Elecciones Generales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que promueve la metodología de trabajo colaborativo Building Information Modeling renovará el próximo 27 de junio su Junta Directiva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buildingSMART Spain, y BIM con ella, se actualiza para seguir promoviendo la revolucionaria transformación que se está llevando a cabo en el ámbito de la construcción.</w:t>
            </w:r>
          </w:p>
          <w:p>
            <w:pPr>
              <w:ind w:left="-284" w:right="-427"/>
              <w:jc w:val="both"/>
              <w:rPr>
                <w:rFonts/>
                <w:color w:val="262626" w:themeColor="text1" w:themeTint="D9"/>
              </w:rPr>
            </w:pPr>
            <w:r>
              <w:t>La asociación sin ánimo de lucro que promueve estándares abiertos de interoperabilidad sobre la metodología Building Information Modeling afronta Elecciones Generales para renovar su Junta Directiva. Serán el próximo 27 de junio en Madrid, en el transcurso de la Asamblea General de Socios que se celebrará, de manera presencial, a partir de las 10.00 horas.</w:t>
            </w:r>
          </w:p>
          <w:p>
            <w:pPr>
              <w:ind w:left="-284" w:right="-427"/>
              <w:jc w:val="both"/>
              <w:rPr>
                <w:rFonts/>
                <w:color w:val="262626" w:themeColor="text1" w:themeTint="D9"/>
              </w:rPr>
            </w:pPr>
            <w:r>
              <w:t>La votación se realizará días antes, entre el 22 y el 26 de junio, de forma telemática mediante la plataforma EADTRUST, que garantiza que el voto sea secreto y único. Se elegirá a las personas que ocuparán la presidencia, secretaría y tesorería, así como a una persona Representante de los Simpatizantes y a dos representantes de cada una de las Comisiones Sectoriales (Diseño; Construcción, Project management y Fabricantes de Productos de Construcción; Promoción y Explotación; Desarrolladores y Distribuidores de SW, HW y otros servicios tecnológicos; y Formación e Investigación).</w:t>
            </w:r>
          </w:p>
          <w:p>
            <w:pPr>
              <w:ind w:left="-284" w:right="-427"/>
              <w:jc w:val="both"/>
              <w:rPr>
                <w:rFonts/>
                <w:color w:val="262626" w:themeColor="text1" w:themeTint="D9"/>
              </w:rPr>
            </w:pPr>
            <w:r>
              <w:t>Se deberá votar en dos ocasiones: en la primera, todos los asociados que estén en el censo electoral -que se publicará el 21 de junio- y reúnan los requisitos, podrán votar a aquella candidatura conjunta con los aspirantes a Pesidente/a, Secretario/a, Tesorero/a y Representante de los Simpatizantes; y en la segunda, solo podrán votar los asociados que reúnan los requisitos y pertenezcan a su Comisión Sectorial, a las candidaturas individuales de la Comisión correspondiente.</w:t>
            </w:r>
          </w:p>
          <w:p>
            <w:pPr>
              <w:ind w:left="-284" w:right="-427"/>
              <w:jc w:val="both"/>
              <w:rPr>
                <w:rFonts/>
                <w:color w:val="262626" w:themeColor="text1" w:themeTint="D9"/>
              </w:rPr>
            </w:pPr>
            <w:r>
              <w:t>Podrán ser candidatos y candidatas todos los asociados y asociadas con la cuota acutalizada en ese momento y que cumplan con los requisitos del artículo 8 de los Estatutos de la asociación. Las candidaturas, que pueden presentarse entre el 25 de mayo y el 8 de junio, se publicarán en la página web de la buildingSMART Spain, donde pueden consultarse todos los detalles del procedimiento en estas Elecciones Generales.</w:t>
            </w:r>
          </w:p>
          <w:p>
            <w:pPr>
              <w:ind w:left="-284" w:right="-427"/>
              <w:jc w:val="both"/>
              <w:rPr>
                <w:rFonts/>
                <w:color w:val="262626" w:themeColor="text1" w:themeTint="D9"/>
              </w:rPr>
            </w:pPr>
            <w:r>
              <w:t>BuildingSMART Spain es una asociación sin ánimo de lucro cuyo principal objetivo es fomentar la eficacia en la construcción a través del uso de estándares abiertos de interoperabilidad sobre BIM. Está formada por todos los agentes del sector, desde promotores/inversores, constructoras, ingenierías o estudios de arquitectura hasta universidades y administraciones públicas, pasando por desarrolladores de software, Project managers, centros de investigación y fabricantes de productos y materiales.</w:t>
            </w:r>
          </w:p>
          <w:p>
            <w:pPr>
              <w:ind w:left="-284" w:right="-427"/>
              <w:jc w:val="both"/>
              <w:rPr>
                <w:rFonts/>
                <w:color w:val="262626" w:themeColor="text1" w:themeTint="D9"/>
              </w:rPr>
            </w:pPr>
            <w:r>
              <w:t>Un ámbito en el que la transformación de la mano de Building Information Modeling es ya imparable. La metodología de trabajo colaborativo se ha vuelto imprescindible en el desarrollo de cualquier proyecto, y su presencia es cada vez más sinónimo de óptimos resultados.</w:t>
            </w:r>
          </w:p>
          <w:p>
            <w:pPr>
              <w:ind w:left="-284" w:right="-427"/>
              <w:jc w:val="both"/>
              <w:rPr>
                <w:rFonts/>
                <w:color w:val="262626" w:themeColor="text1" w:themeTint="D9"/>
              </w:rPr>
            </w:pPr>
            <w:r>
              <w:t>Un ahorro de costes y de tiempos de ejecución, garantía de calidad, practicidad y eficiencia son algunos de los beneficios que conlleva esta manera de trabajar, en la que cada vez más profesionales eligen especializarse con una adecuada formación, en especial a través de algún programa de máster BIM, en la actualidad la vía más demandada.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https://www.notasdeprensa.es/bim-se-actualiza-junto-a-la-buildingsmart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Sostenibilidad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