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11/08/2014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Banco Sabadell incrementa en un 50% el número de clientes en fondos y sociedades de inversión y supera los 400.000 partícipes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Banco Sabadell ha superado los 400.000 partícipes en fondos y sociedades de inversión, lo que representa un crecimiento del 50% respecto a un año atrás, un porcentaje que supera ampliamente el promedio del sector, que ha sido del 15,2%.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Banco Sabadell ha superado los 400.000 partícipes en fondos y sociedades de inversión, lo que representa un crecimiento del 50% respecto a un año atrás, un porcentaje que supera ampliamente el promedio del sector, que ha sido del 15,2%.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ha experimentado un aumento del 41,4% el patrimonio aportado por los clientes, que ha registrado un saldo superior a los 13.700 millones de euros. Estas cifras son las más elevadas que ha conseguido el banco desde 2006.  Entre los diferentes tipos de productos, los fondos mixtos y los de renta variable son los que más han crecido, con unos incrementos del 201% y 147%, respectivamente, en relación con el ejercicio anterior. Los fondos de renta fija, con el 48%, y los fondos garantizados, con el 35,1% también han mostrado una evolución alcista.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bajos tipos de interés, el cambio de perspectiva de los inversores en cuanto al desarrollo de la economía, un mayor clima de confianza y las mejores expectativas de rentabilidad que ofrece la renta variable, han posibilitado estos incrementos de los fondos y las sociedades de inversión, así como los recursos de fuera de balance. Así, el total de recursos de clientes que el banco tiene fuera de balance ha subido el 29,5% en comparación al año anterior, acercándose a los 28.600 millones de euros.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Banco Sabadell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https://www.notasdeprensa.es/banco-sabadell-incrementa-en-un-50-el-numero_1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