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11/09/2015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Alumnos de la Universidad CEU San Pablo participan en un taller de Fabricación Digital en la School of Architecture del MIT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Alumnos del Degree in Architecture de la Universidad CEU San Pablo, un grado que su Escuela Politécnica imparte 100% en Inglés, participan en un taller de Fabricación Digital en la School of Architecture del MIT.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Durante el curso, los alumnos aprendieron a trabajar con software paramétrico para la generación de una estructura de madera cuyas piezas se cortaron en una máquina de control numérico de cuatro ejes en el Laboratorio de Fabricación Digital de la School of Architecture and Planning del MIT y posteriormente se ensamblaron en los jardines del campus.</w:t>
            </w:r>
          </w:p>
          <w:p>
            <w:pPr>
              <w:ind w:left="-284" w:right="-427"/>
              <w:jc w:val="both"/>
              <w:rPr>
                <w:rFonts/>
                <w:color w:val="262626" w:themeColor="text1" w:themeTint="D9"/>
              </w:rPr>
            </w:pPr>
            <w:r>
              <w:t>	Además, el curso incluyó el aprendizaje de nuevas tecnologías como cortadoras láser, cortadoras de vinilo e impresoras 3D orientadas a su aplicación en la práctica arquitectónica y una serie de conferencias con profesionales de reconocido prestigio que analizaron las relaciones entre la Fabricación Digital y la Arquitectura.</w:t>
            </w:r>
          </w:p>
          <w:p>
            <w:pPr>
              <w:ind w:left="-284" w:right="-427"/>
              <w:jc w:val="both"/>
              <w:rPr>
                <w:rFonts/>
                <w:color w:val="262626" w:themeColor="text1" w:themeTint="D9"/>
              </w:rPr>
            </w:pPr>
            <w:r>
              <w:t>	Durante su estancia en Boston, los alumnos también realizaron visitas guiadas a los hitos más importantes de la arquitectura de la ciudad como la Biblioteca Pública de Boston, el Institute of Contemporary Arts, el Carpenter Center de Le Corbusier, la ampliación realizada por Rafael Moneo en el Museum of Fine Arts o el edificio para el Isabella Stuart Gardner Museum realizado por Renzo Piano, entre otros hitos de la arquitectura contemporánea.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Universidad CEU San Pablo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https://www.notasdeprensa.es/alumnos-de-la-universidad-ceu-san-pablo_1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