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eléctricos en Europa dicen adiós al episodio de precios altos de principios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primeros cuatro días de la tercera semana de 2021 los precios de todos los mercados eléctricos bajaron respecto a los de la semana anterior. Las temperaturas menos frías provocaron un descenso de la demanda que, unida a una mayor producción renovable, favoreció el descenso de los precios. El día 21 la mayoría de mercados registraron el menor precio diario y horario del año hasta el momento. Los futuros del gas y del CO2 también bajaron respecto a la semana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europeosEn los primeros cuatro días de la tercera semana de enero el precio promedio de todos los mercados eléctricos europeos bajó respecto al promedio de los mismos días de la semana anterior. El precio promediado en el mercado N2EX de Reino Unido entre el 18 y el 21 de enero, de 66,62 €/MWh, fue el más alto de todos los mercados, pero aún así, fue el que mayor descenso registró, de un 56%, debido a los altos precios de este mercado durante la segunda semana del mes.</w:t>
            </w:r>
          </w:p>
          <w:p>
            <w:pPr>
              <w:ind w:left="-284" w:right="-427"/>
              <w:jc w:val="both"/>
              <w:rPr>
                <w:rFonts/>
                <w:color w:val="262626" w:themeColor="text1" w:themeTint="D9"/>
              </w:rPr>
            </w:pPr>
            <w:r>
              <w:t>En la mayoría de mercados, el 21 de enero se alcanzó el precio diario más bajo de lo que va de año y en la madrugada de ese día, también se registró la hora de menor precio hasta el momento, siendo la más baja la hora 5 del mercado EPEX SPOT de Alemania, con un valor de 0,02 €/MWh.</w:t>
            </w:r>
          </w:p>
          <w:p>
            <w:pPr>
              <w:ind w:left="-284" w:right="-427"/>
              <w:jc w:val="both"/>
              <w:rPr>
                <w:rFonts/>
                <w:color w:val="262626" w:themeColor="text1" w:themeTint="D9"/>
              </w:rPr>
            </w:pPr>
            <w:r>
              <w:t>Este descenso se produjo debido a que las temperaturas menos frías hicieron disminuir la demanda y a una mayor producción renovable. Además, los precios del gas y del CO2 fueron más bajos que los de la segunda semana de enero.</w:t>
            </w:r>
          </w:p>
          <w:p>
            <w:pPr>
              <w:ind w:left="-284" w:right="-427"/>
              <w:jc w:val="both"/>
              <w:rPr>
                <w:rFonts/>
                <w:color w:val="262626" w:themeColor="text1" w:themeTint="D9"/>
              </w:rPr>
            </w:pPr>
            <w:r>
              <w:t>Futuros de electricidadSin embargo, en los principales mercados de futuros de electricidad europeos, los precios para el segundo trimestre de 2021 y para el año 2022 de la sesión del 20 de enero subieron respecto a los de la sesión del viernes 15 del mismo mes. Las excepciones fueron los futuros de España y Portugal del próximo trimestre negociados en los mercados EEX y OMIP, que bajaron entre un 0,9% y un 1,0%, y los de los países nórdicos del año próximo, tanto en el mercado ICE como en NASDAQ, que disminuyeron un 0,8% y 0,4% respectivamente.</w:t>
            </w:r>
          </w:p>
          <w:p>
            <w:pPr>
              <w:ind w:left="-284" w:right="-427"/>
              <w:jc w:val="both"/>
              <w:rPr>
                <w:rFonts/>
                <w:color w:val="262626" w:themeColor="text1" w:themeTint="D9"/>
              </w:rPr>
            </w:pPr>
            <w:r>
              <w:t>Demanda eléctricaLa demanda eléctrica registrada entre el 18 y el 20 de enero bajó en la mayoría de los mercados europeos si se compara con la de los tres primeros días de la semana anterior favorecida por el aumento de las temperaturas medias, que fue superior a los 3 °C en el caso de España. El mayor descenso de la demanda se produjo en los mercados de Francia y Portugal, en ambos casos de un 5,7%. Sin embargo, en el mercado italiano, donde las temperaturas medias fueron 0,6 °C más frías, la demanda aumentó un 2,5% en este período.</w:t>
            </w:r>
          </w:p>
          <w:p>
            <w:pPr>
              <w:ind w:left="-284" w:right="-427"/>
              <w:jc w:val="both"/>
              <w:rPr>
                <w:rFonts/>
                <w:color w:val="262626" w:themeColor="text1" w:themeTint="D9"/>
              </w:rPr>
            </w:pPr>
            <w:r>
              <w:t>Producción solar fotovoltaica y termosolar y producción eólicaLa producción solar de los primeros tres días de la semana que comenzó el 18 de enero aumentó en los mercados de Alemania, Italia y Francia al compararse con la producción promedio registrada durante la segunda semana de enero. El mercado francés fue el de mayor aumento, de un 32%. Sin embargo en la península ibérica la producción descendió un 28%.</w:t>
            </w:r>
          </w:p>
          <w:p>
            <w:pPr>
              <w:ind w:left="-284" w:right="-427"/>
              <w:jc w:val="both"/>
              <w:rPr>
                <w:rFonts/>
                <w:color w:val="262626" w:themeColor="text1" w:themeTint="D9"/>
              </w:rPr>
            </w:pPr>
            <w:r>
              <w:t>En el caso de la producción eólica, al comparar la que se registró entre el 18 y el 20 de enero con la de la semana anterior, se observa un aumento en casi todos los mercados. A la cabeza de estos ascensos se encuentra Portugal, con un 168%. En esta comparación los mercados de España e Italia mostraron descensos del 5,9% y 8,4% respectivamente, pero en España la producción del día 20 y la prevista para el día 21 fueron más altas que las de la semana anterior, lo que propició la disminución de los precios en el mercado MIBEL.</w:t>
            </w:r>
          </w:p>
          <w:p>
            <w:pPr>
              <w:ind w:left="-284" w:right="-427"/>
              <w:jc w:val="both"/>
              <w:rPr>
                <w:rFonts/>
                <w:color w:val="262626" w:themeColor="text1" w:themeTint="D9"/>
              </w:rPr>
            </w:pPr>
            <w:r>
              <w:t>Brent, combustibles y CO2Durante los tres primeros días de la semana del 18 de enero, los precios de cierre de los futuros de gas TTF para febrero de 2020 en el mercado ICE estuvieron en el entorno de los 20 €/MWh, en general más bajos que los de la semana anterior.</w:t>
            </w:r>
          </w:p>
          <w:p>
            <w:pPr>
              <w:ind w:left="-284" w:right="-427"/>
              <w:jc w:val="both"/>
              <w:rPr>
                <w:rFonts/>
                <w:color w:val="262626" w:themeColor="text1" w:themeTint="D9"/>
              </w:rPr>
            </w:pPr>
            <w:r>
              <w:t>Actualmente las reservas de gas en el continente están en niveles inferiores a lo habitual. Por eso, existe preocupación sobre la posibilidad de que una nueva ola de frío en febrero coincida con niveles bajos de las reservas de gas en Europa, favoreciendo el rápido incremento de los precios. Sin embargo, los problemas de suministro están mejorando en Asia y las temperaturas son menos frías, por lo cual se espera que menos gas sea desviado hacia allí, mejorando la disponibilidad en Europa.</w:t>
            </w:r>
          </w:p>
          <w:p>
            <w:pPr>
              <w:ind w:left="-284" w:right="-427"/>
              <w:jc w:val="both"/>
              <w:rPr>
                <w:rFonts/>
                <w:color w:val="262626" w:themeColor="text1" w:themeTint="D9"/>
              </w:rPr>
            </w:pPr>
            <w:r>
              <w:t>Los precios de cierre de los futuros de derechos de emisión de CO2 para el producto de referencia de diciembre de 2021 en el mercado EEX continuaron por encima de los 30 €/t en los primeros días de la tercera semana de enero e incluso alcanzaron los 33,09 €/t el día 19 de enero, pero en general estos valores son más bajos que los de la semana del 11 de enero.</w:t>
            </w:r>
          </w:p>
          <w:p>
            <w:pPr>
              <w:ind w:left="-284" w:right="-427"/>
              <w:jc w:val="both"/>
              <w:rPr>
                <w:rFonts/>
                <w:color w:val="262626" w:themeColor="text1" w:themeTint="D9"/>
              </w:rPr>
            </w:pPr>
            <w:r>
              <w:t>Los precios de cierre de los futuros del petróleo Brent para marzo de 2021 en el mercado ICE estuvieron en el entorno de los 55 $/bbl en los primeros tres días de la tercera semana de enero, llegando el miércoles 20 de enero a 56,08 $/bbl.</w:t>
            </w:r>
          </w:p>
          <w:p>
            <w:pPr>
              <w:ind w:left="-284" w:right="-427"/>
              <w:jc w:val="both"/>
              <w:rPr>
                <w:rFonts/>
                <w:color w:val="262626" w:themeColor="text1" w:themeTint="D9"/>
              </w:rPr>
            </w:pPr>
            <w:r>
              <w:t>En los últimos días, las expectativas de que el nuevo presidente de Estados Unidos lleve a cabo estímulos fiscales que favorezcan la economía y mayores esfuerzos para controlar los contagios de COVID‑19 en el país favorecieron el incremento de los precios. Sin embargo, los datos del American Petroleum Institute publicados el día 20 de enero indican un aumento en las reservas de crudo de Estados Unidos, lo cual puede ejercer su influencia a la baja sobre los precios. Además, existe preocupación por el incremento de contagios de COVID‑19 en Asia, sobre todo en China, donde están aumentando las restricciones de movilidad.</w:t>
            </w:r>
          </w:p>
          <w:p>
            <w:pPr>
              <w:ind w:left="-284" w:right="-427"/>
              <w:jc w:val="both"/>
              <w:rPr>
                <w:rFonts/>
                <w:color w:val="262626" w:themeColor="text1" w:themeTint="D9"/>
              </w:rPr>
            </w:pPr>
            <w:r>
              <w:t>Análisis de AleaSoft de la evolución de los mercados de energía y perspectivas a partir de 2021El pasado 14 de enero se realizó la segunda parte de la serie de webinars “Perspectivas de los mercados de energía en Europa a partir de 2021” organizados por AleaSoft, en el que se contó con la participación de ponentes de PwC, que analizaron el mercado de PPA desde el punto de vista de los consumidores. La grabación del webinar se puede solicitar en este link o escribiendo a webinar@aleasoft.com. Las tercera y cuarta parte de esta serie de webinars se realizarán los días 18 de febrero y 18 de marzo con la participación de ponentes invitados de Engie y EY (Ernst  and  Young), respectivamente.</w:t>
            </w:r>
          </w:p>
          <w:p>
            <w:pPr>
              <w:ind w:left="-284" w:right="-427"/>
              <w:jc w:val="both"/>
              <w:rPr>
                <w:rFonts/>
                <w:color w:val="262626" w:themeColor="text1" w:themeTint="D9"/>
              </w:rPr>
            </w:pPr>
            <w:r>
              <w:t>En AleaSoft también se están organizando talleres sobre diversos temas relacionados con el sector eléctrico. El próximo se realizará el 4 de febrero para mostrar la plataforma AleaApp desarrollada por AleaSoft para la compilación, visualización y análisis de datos relacionados con los mercados de energía. Más adelante, el 11 de febrero, se realizará un taller para mostrar a los agentes que operan en los mercados spot y de futuros de electricidad cómo aprovechar al máximo las previsiones de precios de mercado de medio plazo y estocasticidad.</w:t>
            </w:r>
          </w:p>
          <w:p>
            <w:pPr>
              <w:ind w:left="-284" w:right="-427"/>
              <w:jc w:val="both"/>
              <w:rPr>
                <w:rFonts/>
                <w:color w:val="262626" w:themeColor="text1" w:themeTint="D9"/>
              </w:rPr>
            </w:pPr>
            <w:r>
              <w:t>Las previsiones de largo plazo de los mercados eléctricos son otra herramienta que permite analizar las perspectivas a partir de 2021. En AleaSoft se están ofreciendo nuevos servicios complementarios asociados al reporte de curvas de precios de largo plazo para asesorar sobre la utilización de los mismos.</w:t>
            </w:r>
          </w:p>
          <w:p>
            <w:pPr>
              <w:ind w:left="-284" w:right="-427"/>
              <w:jc w:val="both"/>
              <w:rPr>
                <w:rFonts/>
                <w:color w:val="262626" w:themeColor="text1" w:themeTint="D9"/>
              </w:rPr>
            </w:pPr>
            <w:r>
              <w:t>Para más información, es posible dirigirse al siguiente enlace: https://aleasoft.com/es/mercados-electricos-europa-dicen-adios-episodio-precios-altos-principios-anno/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https://www.notasdeprensa.es/aleasoft-los-mercados-electricos-en-europa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