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marca las fluctuaciones de los mercados en medio de los precios altos del CO2 y 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mayo el comportamiento de la producción renovable, fundamentalmente la eólica, marcó las fluctuaciones de los precios de los mercados eléctricos que, en algunos casos, registraron descensos en el promedio semanal a pesar del contexto actual de precios altos del CO2 y el gas. Los futuros del CO2, del gas y del Brent registraron máximos históricos que contribuyeron al aumento de los precios de los futuros de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10 al 16 de mayo, la producción solar disminuyó en la mayoría de los mercados analizados en AleaSoft en comparación con la semana anterior. En el mercado francés la producción se redujo un 19%, mientras que en el mercado alemán y el italiano cayó cerca de un 17%. Por otro lado, a pesar de la caída del 16% en el mercado portugués, en la península ibérica la reducción fue poca debido al incremento del 0,7% registrado en el mercado español.</w:t>
            </w:r>
          </w:p>
          <w:p>
            <w:pPr>
              <w:ind w:left="-284" w:right="-427"/>
              <w:jc w:val="both"/>
              <w:rPr>
                <w:rFonts/>
                <w:color w:val="262626" w:themeColor="text1" w:themeTint="D9"/>
              </w:rPr>
            </w:pPr>
            <w:r>
              <w:t>Para la semana del lunes 17 de mayo, las previsiones de producción solar de AleaSoft indican un aumento en los mercados de Alemania e Italia en comparación con la semana anterior, mientras que se prevé una caída en la producción en el mercado español</w:t>
            </w:r>
          </w:p>
          <w:p>
            <w:pPr>
              <w:ind w:left="-284" w:right="-427"/>
              <w:jc w:val="both"/>
              <w:rPr>
                <w:rFonts/>
                <w:color w:val="262626" w:themeColor="text1" w:themeTint="D9"/>
              </w:rPr>
            </w:pPr>
            <w:r>
              <w:t>Durante la semana del 10 de mayo, la producción eólica aumentó un 88% en la península ibérica en comparación con la semana precedente. En el mercado italiano, se registró también un importante incremento del 34%. Mientras, en los mercados de Francia y Alemania la producción con esta tecnología se redujo un 24% y un 63%, respectivamente.</w:t>
            </w:r>
          </w:p>
          <w:p>
            <w:pPr>
              <w:ind w:left="-284" w:right="-427"/>
              <w:jc w:val="both"/>
              <w:rPr>
                <w:rFonts/>
                <w:color w:val="262626" w:themeColor="text1" w:themeTint="D9"/>
              </w:rPr>
            </w:pPr>
            <w:r>
              <w:t>Para la semana del 17 de mayo, las previsiones de producción eólica de AleaSoft indican que la misma será menor a la registrada la semana anterior en los mercados de España, Portugal e Italia. Por el contrario, se espera un aumento en los mercados de Francia y Alemania.</w:t>
            </w:r>
          </w:p>
          <w:p>
            <w:pPr>
              <w:ind w:left="-284" w:right="-427"/>
              <w:jc w:val="both"/>
              <w:rPr>
                <w:rFonts/>
                <w:color w:val="262626" w:themeColor="text1" w:themeTint="D9"/>
              </w:rPr>
            </w:pPr>
            <w:r>
              <w:t>Demanda eléctricaDurante la semana del 10 de mayo, la demanda eléctrica registró pequeñas variaciones en algunos mercados europeos mientras que en otros disminuyó respecto a la semana anterior. Los mercados de Alemania, Francia y Bélgica estuvieron influenciados por la caída de la demanda el jueves 13 de mayo, que se celebró el Día de la Ascensión. El impacto de este festivo provocó descensos de hasta el 8,5% en el caso de Alemania. Al corregir los efectos de este festivo sobre la demanda alemana la disminución se situó en un 3,1%.</w:t>
            </w:r>
          </w:p>
          <w:p>
            <w:pPr>
              <w:ind w:left="-284" w:right="-427"/>
              <w:jc w:val="both"/>
              <w:rPr>
                <w:rFonts/>
                <w:color w:val="262626" w:themeColor="text1" w:themeTint="D9"/>
              </w:rPr>
            </w:pPr>
            <w:r>
              <w:t>La evolución de la demanda durante la semana pasada, así como el comportamiento durante el festivo del jueves 13 se puede analizar en los observatorios de mercados eléctricos de AleaSoft.</w:t>
            </w:r>
          </w:p>
          <w:p>
            <w:pPr>
              <w:ind w:left="-284" w:right="-427"/>
              <w:jc w:val="both"/>
              <w:rPr>
                <w:rFonts/>
                <w:color w:val="262626" w:themeColor="text1" w:themeTint="D9"/>
              </w:rPr>
            </w:pPr>
            <w:r>
              <w:t>Para la semana del 17 de mayo, las previsiones de demanda de AleaSoft indican un aumento en la mayoría de los mercados de Europa dado que se espera que las temperaturas medias sean más frías en la mayor parte del continente.</w:t>
            </w:r>
          </w:p>
          <w:p>
            <w:pPr>
              <w:ind w:left="-284" w:right="-427"/>
              <w:jc w:val="both"/>
              <w:rPr>
                <w:rFonts/>
                <w:color w:val="262626" w:themeColor="text1" w:themeTint="D9"/>
              </w:rPr>
            </w:pPr>
            <w:r>
              <w:t>Mercados eléctricos europeosLa semana del 10 de mayo, el comportamiento de los precios de los mercados eléctricos europeos analizados en AleaSoft varió según el mercado. Mientras en los mercados EPEX SPOT y N2EX los precios aumentaron, en los mercados MIBEL, IPEX y Nord Pool se registraron descensos del precio promedio semanal. Por lo que respecta a las bajadas de precios, estuvieron entre el 7,0% del mercado IPEX de Italia y el 16% del mercado MIBEL de España. En cambio, las subidas de precios fueron más pronunciadas, desde el 13% del mercado N2EX del Reino Unido al 37% del mercado EPEX SPOT de Alemania.</w:t>
            </w:r>
          </w:p>
          <w:p>
            <w:pPr>
              <w:ind w:left="-284" w:right="-427"/>
              <w:jc w:val="both"/>
              <w:rPr>
                <w:rFonts/>
                <w:color w:val="262626" w:themeColor="text1" w:themeTint="D9"/>
              </w:rPr>
            </w:pPr>
            <w:r>
              <w:t>En la segunda semana de mayo, el precio promedio semanal más elevado fue el del mercado N2EX, de 92,76 €/MWh. Mientras que el menor promedio fue el del mercado Nord Pool de los países nórdicos, de 43,74 €/MWh, seguido por los de los mercados español y portugués, de 52,50 €/MWh y 52,77 €/MWh, respectivamente. En el resto de los mercados, los precios se situaron entre los 60,17 €/MWh del mercado EPEX SPOT de Francia y los 67,65 €/MWh del mercado IPEX.</w:t>
            </w:r>
          </w:p>
          <w:p>
            <w:pPr>
              <w:ind w:left="-284" w:right="-427"/>
              <w:jc w:val="both"/>
              <w:rPr>
                <w:rFonts/>
                <w:color w:val="262626" w:themeColor="text1" w:themeTint="D9"/>
              </w:rPr>
            </w:pPr>
            <w:r>
              <w:t>Durante la segunda semana de mayo, el incremento de la producción eólica en la península ibérica e Italia, favoreció el descenso de los precios en los mercados MIBEL e IPEX. En cambio, la producción renovable eólica y solar descendió en países como Francia y Alemania, lo que, unido a los precios altos del CO2 y el gas, contribuyó a los aumentos de precios en el mercado EPEX SPOT.</w:t>
            </w:r>
          </w:p>
          <w:p>
            <w:pPr>
              <w:ind w:left="-284" w:right="-427"/>
              <w:jc w:val="both"/>
              <w:rPr>
                <w:rFonts/>
                <w:color w:val="262626" w:themeColor="text1" w:themeTint="D9"/>
              </w:rPr>
            </w:pPr>
            <w:r>
              <w:t>Las previsiones de precios de AleaSoft indican que en la semana del 17 de mayo los precios aumentarán en la mayoría de los mercados. Las mayores subidas se esperan en el mercado MIBEL, favorecidas por el descenso de la producción eólica y solar en la península ibérica. Sin embargo, los precios podrían descender en el mercado Nord Pool debido al incremento de la producción hidráulica causado por la lluvia y el deshielo.</w:t>
            </w:r>
          </w:p>
          <w:p>
            <w:pPr>
              <w:ind w:left="-284" w:right="-427"/>
              <w:jc w:val="both"/>
              <w:rPr>
                <w:rFonts/>
                <w:color w:val="262626" w:themeColor="text1" w:themeTint="D9"/>
              </w:rPr>
            </w:pPr>
            <w:r>
              <w:t>Futuros de electricidadEn la segunda semana de mayo los mercados de futuros de electricidad europeos analizados en AleaSoft protagonizaron una contundente subida en los precios del producto del próximo trimestre. El mercado ICE de Países Bajos fue el de mayor incremento porcentual, con más del 10% por encima del precio del viernes 7 de mayo. Pero en general, los mercados EEX de España y Reino Unido, OMIP de España y Portugal e ICE de Reino Unido y Bélgica tuvieron todos aumentos iguales o superiores al 10%. En la región de los países nórdicos fue en la que menos se incrementaron los precios, con subidas del 2,3% y del 2,7% en los mercados ICE y NASDAQ respectivamente.</w:t>
            </w:r>
          </w:p>
          <w:p>
            <w:pPr>
              <w:ind w:left="-284" w:right="-427"/>
              <w:jc w:val="both"/>
              <w:rPr>
                <w:rFonts/>
                <w:color w:val="262626" w:themeColor="text1" w:themeTint="D9"/>
              </w:rPr>
            </w:pPr>
            <w:r>
              <w:t>En cuanto al futuro para el próximo año, la subida de precios también fue generalizada, aunque en menor cuantía. En este caso el mercado EEX de España fue el de mayor incremento, seguido muy de cerca por el mercado EEX de Alemania. Una vez más, los mercados ICE y NASDAQ de los países nórdicos fueron los de menor variación, con subidas del 2,0% y del 1,7%, respectivamente.</w:t>
            </w:r>
          </w:p>
          <w:p>
            <w:pPr>
              <w:ind w:left="-284" w:right="-427"/>
              <w:jc w:val="both"/>
              <w:rPr>
                <w:rFonts/>
                <w:color w:val="262626" w:themeColor="text1" w:themeTint="D9"/>
              </w:rPr>
            </w:pPr>
            <w:r>
              <w:t>Brent, combustibles y CO2Los precios de los futuros de petróleo Brent para el mes de julio de 2021 en el mercado ICE iniciaron la segunda semana de mayo con subidas. El miércoles 12 de mayo se alcanzó un precio de cierre de 69,32 $/bbl, el cual fue el más alto de los últimos dos años. Sin embargo, el jueves el precio descendió un 3,3%, pero el viernes se recuperó hasta los 68,71 $/bbl.</w:t>
            </w:r>
          </w:p>
          <w:p>
            <w:pPr>
              <w:ind w:left="-284" w:right="-427"/>
              <w:jc w:val="both"/>
              <w:rPr>
                <w:rFonts/>
                <w:color w:val="262626" w:themeColor="text1" w:themeTint="D9"/>
              </w:rPr>
            </w:pPr>
            <w:r>
              <w:t>Las expectativas sobre la mejora de la economía estadounidense así como un dólar más débil favorecieron los aumentos de precios de los futuros del petróleo Brent. También contribuyó a las subidas la caída en las reservas de petróleo de Estados Unidos. Sin embargo, la situación de la pandemia de COVID‑19 en la India continúa generando preocupación sobre el ritmo de recuperación de la demanda. Esta situación se ve agravada por el ciclón que está afectando la costa oeste del país.</w:t>
            </w:r>
          </w:p>
          <w:p>
            <w:pPr>
              <w:ind w:left="-284" w:right="-427"/>
              <w:jc w:val="both"/>
              <w:rPr>
                <w:rFonts/>
                <w:color w:val="262626" w:themeColor="text1" w:themeTint="D9"/>
              </w:rPr>
            </w:pPr>
            <w:r>
              <w:t>En cuanto a los precios de los futuros de gas TTF en el mercado ICE para el mes de junio de 2021, la segunda semana de mayo fueron superiores a 25 €/MWh y tuvieron una tendencia en general ascendente. Como consecuencia, el precio de cierre del viernes 14 de mayo fue de 26,83 €/MWh, un 12% superior al del viernes anterior y el más elevado de los últimos dos años.</w:t>
            </w:r>
          </w:p>
          <w:p>
            <w:pPr>
              <w:ind w:left="-284" w:right="-427"/>
              <w:jc w:val="both"/>
              <w:rPr>
                <w:rFonts/>
                <w:color w:val="262626" w:themeColor="text1" w:themeTint="D9"/>
              </w:rPr>
            </w:pPr>
            <w:r>
              <w:t>La alta demanda de gas en Asia contribuyó a esta tendencia ascendente. Además, los niveles bajos de las reservas, las temperaturas inferiores a lo normal y el descenso del flujo de gas desde Noruega debido a operaciones de mantenimiento favorecerán que la tendencia ascendente continúe en los próximos días.</w:t>
            </w:r>
          </w:p>
          <w:p>
            <w:pPr>
              <w:ind w:left="-284" w:right="-427"/>
              <w:jc w:val="both"/>
              <w:rPr>
                <w:rFonts/>
                <w:color w:val="262626" w:themeColor="text1" w:themeTint="D9"/>
              </w:rPr>
            </w:pPr>
            <w:r>
              <w:t>Por lo que respecta a los futuros de derechos de emisión de CO2 en el mercado EEX para el contrato de referencia de diciembre de 2021, la segunda semana de mayo registraron incrementos de precios casi todos los días. El mayor de estos aumentos diarios, del 4,3%, correspondió al miércoles 12 de mayo. Como resultado, el viernes 14 de mayo el precio de cierre fue un 12% mayor al del viernes anterior, alcanzándose un precio máximo histórico de 56,65 €/t.</w:t>
            </w:r>
          </w:p>
          <w:p>
            <w:pPr>
              <w:ind w:left="-284" w:right="-427"/>
              <w:jc w:val="both"/>
              <w:rPr>
                <w:rFonts/>
                <w:color w:val="262626" w:themeColor="text1" w:themeTint="D9"/>
              </w:rPr>
            </w:pPr>
            <w:r>
              <w:t>La importancia de las previsiones de precios para el desarrollo de las renovables y para los grandes consumidoresEl pasado jueves 13 de mayo se realizó el webinar “Perspectivas de los mercados de energía en Europa. Las previsiones de precios y su importancia para el desarrollo de las renovables. Visión de futuro” en el que se analizó la actual situación de precios altos en los mercados de energía europeos. En el webinar se transmitió un mensaje de optimismo teniendo en cuenta que los modelos de AleaSoft apuntan a que los precios actuales están por encima del precio de equilibrio del mercado y por tanto esta situación se debe revertir en el medio y largo plazo. Además, se analizó la visión de futuro sobre la descarbonización del sector transporte y la utilidad de las previsiones de precios de mercado para los desarrolladores de energías renovables. El 10 de junio se realizará la segunda parte del webinar en la que además de realizar el habitual análisis de la evolución de los mercados, se hablará de la importancia de las previsiones para los grandes consumidores y electrointensivos, de la visión de futuro sobre la descarbonización de la industria y del papel que desempeñará hidrógeno verde en todo este proceso.</w:t>
            </w:r>
          </w:p>
          <w:p>
            <w:pPr>
              <w:ind w:left="-284" w:right="-427"/>
              <w:jc w:val="both"/>
              <w:rPr>
                <w:rFonts/>
                <w:color w:val="262626" w:themeColor="text1" w:themeTint="D9"/>
              </w:rPr>
            </w:pPr>
            <w:r>
              <w:t>Como parte de la labor divulgativa que se está realizando en AleaSoft, el jueves 20 de mayo la empresa participará en un webinar organizado por la AEE (Asociación Empresarial Eólica) titulado “Previsiones de precios y visión de futuro en el sector de la energía”. En el webinar se analizarán las perspectivas de los mercados de energía en los próximos años y cómo las previsiones de precios son un input necesario para la financiación de los proyectos de energías renovables y para la operación de los parques de generación.</w:t>
            </w:r>
          </w:p>
          <w:p>
            <w:pPr>
              <w:ind w:left="-284" w:right="-427"/>
              <w:jc w:val="both"/>
              <w:rPr>
                <w:rFonts/>
                <w:color w:val="262626" w:themeColor="text1" w:themeTint="D9"/>
              </w:rPr>
            </w:pPr>
            <w:r>
              <w:t>Para más información, es posible dirigirse al siguiente enlace: https://aleasoft.com/es/produccion-eolica-marca-fluctuaciones-mercados-electricos-europeos-precios-altos-co2-gas/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https://www.notasdeprensa.es/aleasoft-la-eolica-marca-las-fluctuaciones-de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