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caída de la eólica y el aumento de la demanda traerán una remontada de los precios de mercados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 los mercados eléctricos europeos bajaron de forma generalizada en la tercera semana del año favorecidos por la recuperación de las temperaturas y el incremento de la producción eólica. Sin embargo, los futuros de electricidad aumentaron. Los futuros del gas y del CO2 bajaron respecto a los máximos que se habían registrado pero siguen altos. Se espera que en la cuarta semana del año la producción eólica disminuya y la demanda aumente provocando la recuperación de los precios de los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eólicaDurante la semana del lunes 18 de enero la producción solar disminuyó cerca de un 50% en el mercado portugués y un 39% en el mercado español en comparación con la semana precedente. En el mercado italiano la disminución estuvo cercana al 25%. Por el contrario en el mercado alemán la producción con esta tecnología aumentó un 54% y en el mercado francés un 2,9%.</w:t>
            </w:r>
          </w:p>
          <w:p>
            <w:pPr>
              <w:ind w:left="-284" w:right="-427"/>
              <w:jc w:val="both"/>
              <w:rPr>
                <w:rFonts/>
                <w:color w:val="262626" w:themeColor="text1" w:themeTint="D9"/>
              </w:rPr>
            </w:pPr>
            <w:r>
              <w:t>Para la cuarta semana de enero, las previsiones de producción solar de AleaSoft indican que se producirá un descenso en los mercados de España y Alemania en comparación con la semana anterior. Por el contrario, se prevé que en el mercado italiano la producción aumente.</w:t>
            </w:r>
          </w:p>
          <w:p>
            <w:pPr>
              <w:ind w:left="-284" w:right="-427"/>
              <w:jc w:val="both"/>
              <w:rPr>
                <w:rFonts/>
                <w:color w:val="262626" w:themeColor="text1" w:themeTint="D9"/>
              </w:rPr>
            </w:pPr>
            <w:r>
              <w:t>Durante la tercera semana de 2021, la producción eólica aumentó en todos los mercados europeos analizados en AleaSoft en comparación con la semana anterior. En el mercado portugués la producción se triplicó, con un crecimiento del 233% y en el mercado español creció un 58%. En el resto de los mercados la producción creció entre un 28% y un 46%.</w:t>
            </w:r>
          </w:p>
          <w:p>
            <w:pPr>
              <w:ind w:left="-284" w:right="-427"/>
              <w:jc w:val="both"/>
              <w:rPr>
                <w:rFonts/>
                <w:color w:val="262626" w:themeColor="text1" w:themeTint="D9"/>
              </w:rPr>
            </w:pPr>
            <w:r>
              <w:t>Para la cuarta semana de enero, las previsiones de producción eólica de AleaSoft indican que la misma disminuirá en todos los mercados analizados en AleaSoft en comparación con la semana anterior.</w:t>
            </w:r>
          </w:p>
          <w:p>
            <w:pPr>
              <w:ind w:left="-284" w:right="-427"/>
              <w:jc w:val="both"/>
              <w:rPr>
                <w:rFonts/>
                <w:color w:val="262626" w:themeColor="text1" w:themeTint="D9"/>
              </w:rPr>
            </w:pPr>
            <w:r>
              <w:t>Demanda eléctricaLa demanda eléctrica disminuyó durante la semana del 18 de enero respecto a la semana anterior en la mayoría de los mercados de Europa, a causa del incremento de las temperaturas medias entre 2,1 °C y 4,3 °C. Las caídas más notables ocurrieron en los mercados de Portugal, Francia y España, las cuales fueron de un 7,1%, 5,3% y 5,2% respectivamente. Sin embargo, el mercado italiano tuvo poca variación intersemanal, con un ascenso de un 0,1%.</w:t>
            </w:r>
          </w:p>
          <w:p>
            <w:pPr>
              <w:ind w:left="-284" w:right="-427"/>
              <w:jc w:val="both"/>
              <w:rPr>
                <w:rFonts/>
                <w:color w:val="262626" w:themeColor="text1" w:themeTint="D9"/>
              </w:rPr>
            </w:pPr>
            <w:r>
              <w:t>Para la semana del 25 de enero, las previsiones de AleaSoft indican que la demanda se recuperará con ligeros aumentos en la mayoría de los mercados. Por otro lado, se espera que la demanda de España descienda durante la semana.</w:t>
            </w:r>
          </w:p>
          <w:p>
            <w:pPr>
              <w:ind w:left="-284" w:right="-427"/>
              <w:jc w:val="both"/>
              <w:rPr>
                <w:rFonts/>
                <w:color w:val="262626" w:themeColor="text1" w:themeTint="D9"/>
              </w:rPr>
            </w:pPr>
            <w:r>
              <w:t>Mercados eléctricos europeosLa semana del 18 de enero, los precios de todos los mercados eléctricos europeos analizados en AleaSoft descendieron respecto a los de la semana anterior. La mayor caída de precios, del 46%, fue la del mercado N2EX del Reino Unido, seguida por la del mercado MIBEL de España y Portugal, del 37%. En cambio, el menor descenso de precios fue el del mercado IPEX de Italia, del 10%. En el resto de los mercados, las bajadas de precios estuvieron entre 16% del mercado EPEX SPOT de los Países Bajos y el 23% del mercado EPEX SPOT de Bélgica.</w:t>
            </w:r>
          </w:p>
          <w:p>
            <w:pPr>
              <w:ind w:left="-284" w:right="-427"/>
              <w:jc w:val="both"/>
              <w:rPr>
                <w:rFonts/>
                <w:color w:val="262626" w:themeColor="text1" w:themeTint="D9"/>
              </w:rPr>
            </w:pPr>
            <w:r>
              <w:t>En la tercera semana de enero, los precios promedio semanales más elevados fueron los del Reino Unido e Italia, de 71,11 €/MWh y 60,80 €/MWh, respectivamente. Mientras que mercado Nord Pool de los países nórdicos tuvo el menor promedio, de 39,45 €/MWh. En el resto de los mercados, los precios se situaron entre los 44,38 €/MWh del mercado alemán y los 53,03 €/MWh del mercado francés.</w:t>
            </w:r>
          </w:p>
          <w:p>
            <w:pPr>
              <w:ind w:left="-284" w:right="-427"/>
              <w:jc w:val="both"/>
              <w:rPr>
                <w:rFonts/>
                <w:color w:val="262626" w:themeColor="text1" w:themeTint="D9"/>
              </w:rPr>
            </w:pPr>
            <w:r>
              <w:t>Por lo que respecta a los precios horarios, el mercado MIBEL de España y Portugal alcanzó el precio horario mínimo en lo que va de año, de 1,95 €/MWh, en las horas 4 y 5 del domingo 24 de enero. Además, los días 23 y 24 de enero, el mercado MIBEL presentó los precios diarios más bajos de todos los mercados analizados. El menor precio diario, de 27,50 €/MWh, fue el del sábado 23 de enero, el cual fue el más bajo de este mercado desde la última semana de 2020.</w:t>
            </w:r>
          </w:p>
          <w:p>
            <w:pPr>
              <w:ind w:left="-284" w:right="-427"/>
              <w:jc w:val="both"/>
              <w:rPr>
                <w:rFonts/>
                <w:color w:val="262626" w:themeColor="text1" w:themeTint="D9"/>
              </w:rPr>
            </w:pPr>
            <w:r>
              <w:t>Durante la tercera semana del año, el incremento de la producción eólica en Europa y de la producción solar en países como Alemania y Francia, junto con la recuperación de las temperaturas, favorecieron el descenso de los precios en los mercados eléctricos europeos.</w:t>
            </w:r>
          </w:p>
          <w:p>
            <w:pPr>
              <w:ind w:left="-284" w:right="-427"/>
              <w:jc w:val="both"/>
              <w:rPr>
                <w:rFonts/>
                <w:color w:val="262626" w:themeColor="text1" w:themeTint="D9"/>
              </w:rPr>
            </w:pPr>
            <w:r>
              <w:t>Las previsiones de precios de AleaSoft indican que la semana del 25 de enero los precios se recuperarán en la mayoría de los mercados, influenciados por el descenso generalizado de la producción eólica y el incremento de la demanda en la mayoría de los mercados.</w:t>
            </w:r>
          </w:p>
          <w:p>
            <w:pPr>
              <w:ind w:left="-284" w:right="-427"/>
              <w:jc w:val="both"/>
              <w:rPr>
                <w:rFonts/>
                <w:color w:val="262626" w:themeColor="text1" w:themeTint="D9"/>
              </w:rPr>
            </w:pPr>
            <w:r>
              <w:t>Futuros de electricidadDurante la tercera semana del 2021 los precios de los futuros de electricidad europeos para el siguiente trimestre subieron en todos los mercados analizados en AleaSoft. Como es habitual, el incremento porcentual fue más acentuado en los mercados ICE y NASDAQ de los países nórdicos, debido a sus precios más bajos respecto al resto de mercados. En estos mercados nórdicos la diferencia entre las últimas sesiones de la segunda y tercera semanas del año fue de un 13%. El mercado OMIP de España y Portugal fue en el que menos variaron los precios, con un incremento del 1,3% para ambos países. El mercado EEX de España registró una subida del 1,7%. Mientras tanto, en el resto de mercados se registraron aumentos de entre el 3,7% y el 5,3%.</w:t>
            </w:r>
          </w:p>
          <w:p>
            <w:pPr>
              <w:ind w:left="-284" w:right="-427"/>
              <w:jc w:val="both"/>
              <w:rPr>
                <w:rFonts/>
                <w:color w:val="262626" w:themeColor="text1" w:themeTint="D9"/>
              </w:rPr>
            </w:pPr>
            <w:r>
              <w:t>Respecto al producto del año 2022, el comportamiento fue muy similar. También subieron los precios durante este período en todos los mercados. Sin embargo, en esta ocasión el aumento en los países nórdicos fue, en términos absolutos, considerablemente inferior al del resto de países. Incluso con los precios de mercado más bajos, su incremento porcentual fue del 1,7% en el mercado ICE y del 1,8% en el mercado NASDAQ, siendo así las menores variaciones para este producto durante la semana del 18 de enero. El mercado ICE de Bélgica fue el de mayor subida de precios, con un 5,2% más que la semana anterior. En el resto de mercados las subidas se situaron entre el 2,4% y el 4,8%.</w:t>
            </w:r>
          </w:p>
          <w:p>
            <w:pPr>
              <w:ind w:left="-284" w:right="-427"/>
              <w:jc w:val="both"/>
              <w:rPr>
                <w:rFonts/>
                <w:color w:val="262626" w:themeColor="text1" w:themeTint="D9"/>
              </w:rPr>
            </w:pPr>
            <w:r>
              <w:t>Brent, combustibles y CO2Los futuros de petróleo Brent para el mes de marzo de 2021 en el mercado ICE iniciaron la tercera semana de enero con descensos. El lunes 18 de enero, el precio de cierre fue de 54,75 $/bbl, un 1,6% inferior al del lunes anterior. Pero el martes, los precios iniciaron una tendencia ascendente. Como resultado, el jueves 21 de enero se alcanzó un precio de cierre de 56,10 $/bbl. El viernes el precio retrocedió de nuevo hasta los 55,41 $/bbl, aunque continuó siendo un 0,6% superior al del viernes anterior. Precisamente el vienes, la EIA publicó los datos sobre las reservas de crudo de Estados Unidos, las cuales aumentaron en la semana del 15 de enero. También ese día se supo que Irán ha incrementado el volumen de sus exportaciones de crudo.</w:t>
            </w:r>
          </w:p>
          <w:p>
            <w:pPr>
              <w:ind w:left="-284" w:right="-427"/>
              <w:jc w:val="both"/>
              <w:rPr>
                <w:rFonts/>
                <w:color w:val="262626" w:themeColor="text1" w:themeTint="D9"/>
              </w:rPr>
            </w:pPr>
            <w:r>
              <w:t>En general, durante la tercera semana de enero, las expectativas de que el nuevo gobierno de Estados Unidos desarrolle políticas que permitan mejorar la situación económica e incrementar la demanda en el país ejercieron su influencia al alza sobre los precios. Sin embargo, continúa la preocupación por la evolución de la pandemia de COVID‑19 y el aumento de las restricciones de movilidad para intentar controlar el incremento de casos, por los efectos que pueden tener sobre la demanda.</w:t>
            </w:r>
          </w:p>
          <w:p>
            <w:pPr>
              <w:ind w:left="-284" w:right="-427"/>
              <w:jc w:val="both"/>
              <w:rPr>
                <w:rFonts/>
                <w:color w:val="262626" w:themeColor="text1" w:themeTint="D9"/>
              </w:rPr>
            </w:pPr>
            <w:r>
              <w:t>En cuanto a los futuros de gas TTF en el mercado ICE para el mes de febrero de 2021, el lunes 18 de enero los precios continuaron con la tendencia descendente de la segunda mitad de la semana anterior. Este día se alcanzó un precio de cierre de 19,03 €/MWh, un 14% inferior al del lunes anterior. Sin embargo, el martes los precios empezaron a recuperarse, registrando un incremento del 6,8% respecto al día anterior. El viernes 22 de enero los precios también aumentaron, en un 7,1%, finalizando la semana con un precio de cierre de 21,48 €/MWh, el cual fue un 6,4% superior al del viernes anterior. Los pronósticos de descensos de temperaturas en parte de Europa, junto con unos niveles de reservas de gas por debajo de la media, permitieron esta recuperación de los precios.</w:t>
            </w:r>
          </w:p>
          <w:p>
            <w:pPr>
              <w:ind w:left="-284" w:right="-427"/>
              <w:jc w:val="both"/>
              <w:rPr>
                <w:rFonts/>
                <w:color w:val="262626" w:themeColor="text1" w:themeTint="D9"/>
              </w:rPr>
            </w:pPr>
            <w:r>
              <w:t>Por lo que respecta a los precios de cierre de los futuros de derechos de emisión de CO2 en el mercado EEX para el contrato de referencia de diciembre de 2021, la tercera semana de enero, continuaron por encima de los 30 €/t. Pero el lunes 18 de enero se registró el precio de cierre más bajo desde la penúltima semana de 2020, de 31,62 €/t, el cual fue un 8,4% inferior al del lunes anterior. Posteriormente, los precios volvieron a aumentar y el viernes 22 de enero el precio de cierre fue de 34,24 €/t, un 7,9% mayor al del mismo día de la semana anterior. Hasta el momento, la evolución de los precios del gas ha ejercido una gran influencia sobre los precios de los derechos de emisión de CO2. Pero, a finales de la última semana de enero, se reanudarán las subastas en Alemania, lo cual también influenciará la evolución de los precios.</w:t>
            </w:r>
          </w:p>
          <w:p>
            <w:pPr>
              <w:ind w:left="-284" w:right="-427"/>
              <w:jc w:val="both"/>
              <w:rPr>
                <w:rFonts/>
                <w:color w:val="262626" w:themeColor="text1" w:themeTint="D9"/>
              </w:rPr>
            </w:pPr>
            <w:r>
              <w:t>Análisis de AleaSoft de la evolución de los mercados de energía y perspectivas a partir de 2021El próximo 18 de febrero se realizará la tercera parte de la serie de webinars “Perspectivas de los mercados de energía en Europa a partir de 2021” organizado por AleaSoft, en la cual se contará también con la participación de ponentes de Engie. En el webinar se prestará especial atención a los PPA y las subastas de renovables, analizando cómo será la coexistencia de estas dos alternativas de financiación para los generadores. También se hablará de los PPA corporativos y del atractivo que suponen los PPA desde el punto de vista de los compradores. Más adelante, el 18 de marzo, se realizará la cuarta parte de esta serie de webinars, en la que se contará con ponentes invitados de EY (Ernst  and  Young).</w:t>
            </w:r>
          </w:p>
          <w:p>
            <w:pPr>
              <w:ind w:left="-284" w:right="-427"/>
              <w:jc w:val="both"/>
              <w:rPr>
                <w:rFonts/>
                <w:color w:val="262626" w:themeColor="text1" w:themeTint="D9"/>
              </w:rPr>
            </w:pPr>
            <w:r>
              <w:t>Las curvas de precios de medio y largo plazo permiten analizar las perspectivas de los mercados para los próximos años. Pero además, estas previsiones pueden ser útiles para realizar análisis de forma retrospectiva. Por ejemplo, en las auditorías permiten analizar si la decisión de inversión, fusión, adquisición, compra de energía o firma de PPA que se tomó en su momento fue razonable teniendo en cuenta las estimaciones que se tenían.</w:t>
            </w:r>
          </w:p>
          <w:p>
            <w:pPr>
              <w:ind w:left="-284" w:right="-427"/>
              <w:jc w:val="both"/>
              <w:rPr>
                <w:rFonts/>
                <w:color w:val="262626" w:themeColor="text1" w:themeTint="D9"/>
              </w:rPr>
            </w:pPr>
            <w:r>
              <w:t>En AleaSoft se está organizando un taller que tiene como objetivo mostrar cómo aprovechar al máximo las previsiones de precios de mercado de medio plazo y estocasticidad. Este taller se realizará el 11 de febrero.</w:t>
            </w:r>
          </w:p>
          <w:p>
            <w:pPr>
              <w:ind w:left="-284" w:right="-427"/>
              <w:jc w:val="both"/>
              <w:rPr>
                <w:rFonts/>
                <w:color w:val="262626" w:themeColor="text1" w:themeTint="D9"/>
              </w:rPr>
            </w:pPr>
            <w:r>
              <w:t>Los mercados eléctricos europeos comenzaron el año con importantes subidas de precios. En AleaSoft se ha desarrollado la Plataforma AleaApp, en la cual se compilan los datos de los mercados de energía, facilitando su visualización y análisis, sobre todo en períodos de volatilidad como los del inicio del año. Precisamente para mostrar el funcionamiento de esta plataforma, en AleaSoft se está organizando un taller que se realizará el día 4 de febrero.</w:t>
            </w:r>
          </w:p>
          <w:p>
            <w:pPr>
              <w:ind w:left="-284" w:right="-427"/>
              <w:jc w:val="both"/>
              <w:rPr>
                <w:rFonts/>
                <w:color w:val="262626" w:themeColor="text1" w:themeTint="D9"/>
              </w:rPr>
            </w:pPr>
            <w:r>
              <w:t>Para más información, es posible dirigirse al siguiente enlace: https://aleasoft.com/es/caida-eolica-aumento-demanda-traeran-remontada-precios-mercados-electricos-europeos/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https://www.notasdeprensa.es/aleasoft-la-caida-de-la-eolica-y-el-aumento-de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