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AECIC analizará el presente y futuro de la investigación clínica y su evolución desde su creación en 2003, en su 20 aniversario como asociación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próximo jueves, 25 de mayo, a las 9h, AECIC va a celebrar sus X Jornadas, coincidiendo con el 20 Aniversario de la Asociación Española de CROs, cuyo tema se centrará en el presente de la investigación clínica y qué ha cambiado en estos últimos 20 años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CNIC, diferentes expertos abordarán interesantes temas de actualidad más incluso después del COVID como son el manejo de datos en la investigación clínica, las nuevas formas y herramientas utilizadas en los estudios de vida real (RWE) y Ensayos Clínicos, el impacto en la gestión del estudio para todos los actores, así como los nuevos aspectos regulatorios y administrativos en este ámbito y como pueden impactar en el sector y en la mejora de la investigación para tener mejores resultados en salud de mas calidad y en menor tiempo para todos los pacientes.</w:t>
            </w:r>
          </w:p>
          <w:p>
            <w:pPr>
              <w:ind w:left="-284" w:right="-427"/>
              <w:jc w:val="both"/>
              <w:rPr>
                <w:rFonts/>
                <w:color w:val="262626" w:themeColor="text1" w:themeTint="D9"/>
              </w:rPr>
            </w:pPr>
            <w:r>
              <w:t>Se trata de un sector muy atractivo que está en continuo y permanente desarrollo e innovación y básico para la salud de todos por la importancia de los resultados en la aplicabilidad al uso de nuevos medicamentos en la enfermedades actuales y futuras. Por ello, expertos de nivel quieren dar a conocer en qué punto se encuentra la sociedad, cual es el presente y lo más importante, cual es el futuro para poder seguir avanzando en la innovación para mejorar la salud con el desarrollo de nuevos estudios y nuevas herramientas, teniendo en cuenta lo realizado dos décadas atrás.</w:t>
            </w:r>
          </w:p>
          <w:p>
            <w:pPr>
              <w:ind w:left="-284" w:right="-427"/>
              <w:jc w:val="both"/>
              <w:rPr>
                <w:rFonts/>
                <w:color w:val="262626" w:themeColor="text1" w:themeTint="D9"/>
              </w:rPr>
            </w:pPr>
            <w:r>
              <w:t>Una vez más, este año distintos profesionales se dan cita en este evento clave en el sector para poner en común temas de actualidad desde distintos puntos de vista (Investigadores, promotores, CEICs, Hospitales, pacientes, etc) y seguir avanzando en este campo de la mano de distintos profesionales con una interesante puesta al día. Unas jornadas de profesionales a profesionales para adelantarse a lo que pueda pasar, dirigidas a personal involucrado en investigación clínica, a nivel de CRO o Industria farmacéutica, comités éticos, gerencias, entre otros agentes del sector.</w:t>
            </w:r>
          </w:p>
          <w:p>
            <w:pPr>
              <w:ind w:left="-284" w:right="-427"/>
              <w:jc w:val="both"/>
              <w:rPr>
                <w:rFonts/>
                <w:color w:val="262626" w:themeColor="text1" w:themeTint="D9"/>
              </w:rPr>
            </w:pPr>
            <w:r>
              <w:t>Se puede ver el programa completo aquí.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Bárbara Fernández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722577025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https://www.notasdeprensa.es/aecic-analizara-el-presente-y-futuro-de-la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Madrid Investigación Científica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