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ACCIONA gana 33 millones euros Primer Trimestre gracias extraordinarios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Beneficio Ordinario Antes de Impuestos cae un 67,6%hasta 13 millones de euros principalmente por el impacto de la reforma energética aplicada desde julio de 2013 (Real Decreto-Ley 9/2013), estimado en 81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Resultado Bruto de Explotación (EBITDA) se reduce un19,3% hasta 226 millones de euros.</w:t>
            </w:r>
          </w:p>
          <w:p>
            <w:pPr>
              <w:ind w:left="-284" w:right="-427"/>
              <w:jc w:val="both"/>
              <w:rPr>
                <w:rFonts/>
                <w:color w:val="262626" w:themeColor="text1" w:themeTint="D9"/>
              </w:rPr>
            </w:pPr>
            <w:r>
              <w:t>	La facturación disminuye el 8,7% hasta los 1.402millones de euros.</w:t>
            </w:r>
          </w:p>
          <w:p>
            <w:pPr>
              <w:ind w:left="-284" w:right="-427"/>
              <w:jc w:val="both"/>
              <w:rPr>
                <w:rFonts/>
                <w:color w:val="262626" w:themeColor="text1" w:themeTint="D9"/>
              </w:rPr>
            </w:pPr>
            <w:r>
              <w:t>	ACCIONA obtuvo un beneficio neto de 33 millones de euros en el primer trimestre de 2014, un 3,5% menos que en el mismo periodo de2013. Este resultado incluye las plusvalías de 28 millones de euro scomo consecuencia de la venta de los activos renovables de lacompañía en Alemania. Eliminando esta partida extraordinaria, el Beneficio Ordinario Antes de Impuestos registró un retroceso del 67,6%, hasta los 13 millones de euros, debido principalmente al impacto estimado en 81 millones de euros de los cambios regulatorios en el sector energético que entraron en vigor en juliode 2013 (Real Decreto-L 9/2013). El EBITDA del grupo se reduce el 19,3% hasta los 226 millones de euros.</w:t>
            </w:r>
          </w:p>
          <w:p>
            <w:pPr>
              <w:ind w:left="-284" w:right="-427"/>
              <w:jc w:val="both"/>
              <w:rPr>
                <w:rFonts/>
                <w:color w:val="262626" w:themeColor="text1" w:themeTint="D9"/>
              </w:rPr>
            </w:pPr>
            <w:r>
              <w:t>	La facturación del grupo retrocedió en el primer trimestre el 8,7% para situarse en 1.402 millones de euros, acusando los cambios regulatorios en el sector eléctrico y el retraso sobre el calendario previsto del inicio de los nuevos proyectos internacionales de infraestructuras.</w:t>
            </w:r>
          </w:p>
          <w:p>
            <w:pPr>
              <w:ind w:left="-284" w:right="-427"/>
              <w:jc w:val="both"/>
              <w:rPr>
                <w:rFonts/>
                <w:color w:val="262626" w:themeColor="text1" w:themeTint="D9"/>
              </w:rPr>
            </w:pPr>
            <w:r>
              <w:t>	La deuda financiera neta al 31 de marzo de 2014 descendió el2,3% respecto a la registrada en diciembre de 2013,fundamentalmente debido a la generación de 169 millones de euros decaja de las actividades de explotación, que compensan el esfuerzoinversor realizado durante el trimestre, que ha ascendido a 84millones de euros.</w:t>
            </w:r>
          </w:p>
          <w:p>
            <w:pPr>
              <w:ind w:left="-284" w:right="-427"/>
              <w:jc w:val="both"/>
              <w:rPr>
                <w:rFonts/>
                <w:color w:val="262626" w:themeColor="text1" w:themeTint="D9"/>
              </w:rPr>
            </w:pPr>
            <w:r>
              <w:t>	El balance de la compañía se ha visto fortalecido durante el primer trimestre del año por la mencionada reducción de deudafinanciera neta y, además, por el aumento de la liquidez disponibleen un volumen cercano a los 700 millones de euros.</w:t>
            </w:r>
          </w:p>
          <w:p>
            <w:pPr>
              <w:ind w:left="-284" w:right="-427"/>
              <w:jc w:val="both"/>
              <w:rPr>
                <w:rFonts/>
                <w:color w:val="262626" w:themeColor="text1" w:themeTint="D9"/>
              </w:rPr>
            </w:pPr>
            <w:r>
              <w:t>	Resultado por divisiones</w:t>
            </w:r>
          </w:p>
          <w:p>
            <w:pPr>
              <w:ind w:left="-284" w:right="-427"/>
              <w:jc w:val="both"/>
              <w:rPr>
                <w:rFonts/>
                <w:color w:val="262626" w:themeColor="text1" w:themeTint="D9"/>
              </w:rPr>
            </w:pPr>
            <w:r>
              <w:t>	La extensión del periodo de vida útil de los activos eólicos de20 a 25 años ha traído como resultado una disminución de lasdotaciones a la amortización desde el 1 de enero de 2014 que hasupuesto una menor amortización de las instalaciones eólicasnacionales e internacionales de 31 millones de euros en eltrimestre.  A pesar de ello, el Beneficio Antes de Impuestosde la división ha experimentado un retroceso del 69,5%, hasta 12millones de euros, como consecuencia de los resultados negativosantes de impuestos del negocio renovable en España. A la espera delcierre definitivo de la reforma energética en curso, la compañía haestimado en las cuentas de división de energía un impacto en elBeneficio Antes de Impuestos de 81 millones de euros como resultadode las medidas en vigor desde julio de 2013 (RD-L 9/2013).</w:t>
            </w:r>
          </w:p>
          <w:p>
            <w:pPr>
              <w:ind w:left="-284" w:right="-427"/>
              <w:jc w:val="both"/>
              <w:rPr>
                <w:rFonts/>
                <w:color w:val="262626" w:themeColor="text1" w:themeTint="D9"/>
              </w:rPr>
            </w:pPr>
            <w:r>
              <w:t>	La facturación de la división de Energía disminuye el 13,8% parasituarse en 487 millones de euros, en lo que ha influido, además delos efectos regulatorios apuntados, la disminución neta de lacapacidad eólica instalada en 138 MW, como consecuencia de lainstalación de 74 MW nuevos en los últimos doce meses y de la ventade 212 MW en Corea del Sur y Alemania.</w:t>
            </w:r>
          </w:p>
          <w:p>
            <w:pPr>
              <w:ind w:left="-284" w:right="-427"/>
              <w:jc w:val="both"/>
              <w:rPr>
                <w:rFonts/>
                <w:color w:val="262626" w:themeColor="text1" w:themeTint="D9"/>
              </w:rPr>
            </w:pPr>
            <w:r>
              <w:t>	La nueva división de Infraestructuras, Agua yServicios cerró el trimestre con una facturación de 789millones de euros, lo que representa el 9,7% menos que el primertrimestre de 2013. Destaca la caída de la facturación del 16,4% enInfraestructuras, hasta 524 millones de euros, y el buencomportamiento  de las ventas del negocio de Servicios, queincrementó su facturación el 20,5%, hasta un total de 159 millonesde euros.</w:t>
            </w:r>
          </w:p>
          <w:p>
            <w:pPr>
              <w:ind w:left="-284" w:right="-427"/>
              <w:jc w:val="both"/>
              <w:rPr>
                <w:rFonts/>
                <w:color w:val="262626" w:themeColor="text1" w:themeTint="D9"/>
              </w:rPr>
            </w:pPr>
            <w:r>
              <w:t>	El EBITDA de la división de Infraestructuras, Agua y Serviciosascendió a 28 millones de euros, un 20,6% menos, condicionado porlos recortes del 24,6% y del 31,6% en las áreas de Infraestructurasy Servicios, respectivamente.</w:t>
            </w:r>
          </w:p>
          <w:p>
            <w:pPr>
              <w:ind w:left="-284" w:right="-427"/>
              <w:jc w:val="both"/>
              <w:rPr>
                <w:rFonts/>
                <w:color w:val="262626" w:themeColor="text1" w:themeTint="D9"/>
              </w:rPr>
            </w:pPr>
            <w:r>
              <w:t>	El área de Otras Actividades, que incluyeTrasmediterranea, Inmobiliaria, Bestinver y Viñedos,mejoró el 21,1% su facturación hasta los 151millones de euros, mientras que el EBITDA aumentó el 44,1% al pasarde 7 a 10 millones de euros.</w:t>
            </w:r>
          </w:p>
          <w:p>
            <w:pPr>
              <w:ind w:left="-284" w:right="-427"/>
              <w:jc w:val="both"/>
              <w:rPr>
                <w:rFonts/>
                <w:color w:val="262626" w:themeColor="text1" w:themeTint="D9"/>
              </w:rPr>
            </w:pPr>
            <w:r>
              <w:t>	Bestinver alcanzó un total de 9.854 millones de euros bajogestión a 31 de marzo de 2014, un 10,3% más que a diciembre de2013.</w:t>
            </w:r>
          </w:p>
          <w:p>
            <w:pPr>
              <w:ind w:left="-284" w:right="-427"/>
              <w:jc w:val="both"/>
              <w:rPr>
                <w:rFonts/>
                <w:color w:val="262626" w:themeColor="text1" w:themeTint="D9"/>
              </w:rPr>
            </w:pPr>
            <w:r>
              <w:t>	Magnitudes Cuenta de Resultados</w:t>
            </w:r>
          </w:p>
          <w:p>
            <w:pPr>
              <w:ind w:left="-284" w:right="-427"/>
              <w:jc w:val="both"/>
              <w:rPr>
                <w:rFonts/>
                <w:color w:val="262626" w:themeColor="text1" w:themeTint="D9"/>
              </w:rPr>
            </w:pPr>
            <w:r>
              <w:t>		(Millones de Euros)</w:t>
            </w:r>
          </w:p>
          <w:p>
            <w:pPr>
              <w:ind w:left="-284" w:right="-427"/>
              <w:jc w:val="both"/>
              <w:rPr>
                <w:rFonts/>
                <w:color w:val="262626" w:themeColor="text1" w:themeTint="D9"/>
              </w:rPr>
            </w:pPr>
            <w:r>
              <w:t>	Ene-Mar	2014</w:t>
            </w:r>
          </w:p>
          <w:p>
            <w:pPr>
              <w:ind w:left="-284" w:right="-427"/>
              <w:jc w:val="both"/>
              <w:rPr>
                <w:rFonts/>
                <w:color w:val="262626" w:themeColor="text1" w:themeTint="D9"/>
              </w:rPr>
            </w:pPr>
            <w:r>
              <w:t>	Ene-Mar	2013</w:t>
            </w:r>
          </w:p>
          <w:p>
            <w:pPr>
              <w:ind w:left="-284" w:right="-427"/>
              <w:jc w:val="both"/>
              <w:rPr>
                <w:rFonts/>
                <w:color w:val="262626" w:themeColor="text1" w:themeTint="D9"/>
              </w:rPr>
            </w:pPr>
            <w:r>
              <w:t>	Variación (%)</w:t>
            </w:r>
          </w:p>
          <w:p>
            <w:pPr>
              <w:ind w:left="-284" w:right="-427"/>
              <w:jc w:val="both"/>
              <w:rPr>
                <w:rFonts/>
                <w:color w:val="262626" w:themeColor="text1" w:themeTint="D9"/>
              </w:rPr>
            </w:pPr>
            <w:r>
              <w:t>	Ventas</w:t>
            </w:r>
          </w:p>
          <w:p>
            <w:pPr>
              <w:ind w:left="-284" w:right="-427"/>
              <w:jc w:val="both"/>
              <w:rPr>
                <w:rFonts/>
                <w:color w:val="262626" w:themeColor="text1" w:themeTint="D9"/>
              </w:rPr>
            </w:pPr>
            <w:r>
              <w:t>	1.402</w:t>
            </w:r>
          </w:p>
          <w:p>
            <w:pPr>
              <w:ind w:left="-284" w:right="-427"/>
              <w:jc w:val="both"/>
              <w:rPr>
                <w:rFonts/>
                <w:color w:val="262626" w:themeColor="text1" w:themeTint="D9"/>
              </w:rPr>
            </w:pPr>
            <w:r>
              <w:t>	1.537</w:t>
            </w:r>
          </w:p>
          <w:p>
            <w:pPr>
              <w:ind w:left="-284" w:right="-427"/>
              <w:jc w:val="both"/>
              <w:rPr>
                <w:rFonts/>
                <w:color w:val="262626" w:themeColor="text1" w:themeTint="D9"/>
              </w:rPr>
            </w:pPr>
            <w:r>
              <w:t>	-8,7</w:t>
            </w:r>
          </w:p>
          <w:p>
            <w:pPr>
              <w:ind w:left="-284" w:right="-427"/>
              <w:jc w:val="both"/>
              <w:rPr>
                <w:rFonts/>
                <w:color w:val="262626" w:themeColor="text1" w:themeTint="D9"/>
              </w:rPr>
            </w:pPr>
            <w:r>
              <w:t>	EBITDA</w:t>
            </w:r>
          </w:p>
          <w:p>
            <w:pPr>
              <w:ind w:left="-284" w:right="-427"/>
              <w:jc w:val="both"/>
              <w:rPr>
                <w:rFonts/>
                <w:color w:val="262626" w:themeColor="text1" w:themeTint="D9"/>
              </w:rPr>
            </w:pPr>
            <w:r>
              <w:t>	226</w:t>
            </w:r>
          </w:p>
          <w:p>
            <w:pPr>
              <w:ind w:left="-284" w:right="-427"/>
              <w:jc w:val="both"/>
              <w:rPr>
                <w:rFonts/>
                <w:color w:val="262626" w:themeColor="text1" w:themeTint="D9"/>
              </w:rPr>
            </w:pPr>
            <w:r>
              <w:t>	279</w:t>
            </w:r>
          </w:p>
          <w:p>
            <w:pPr>
              <w:ind w:left="-284" w:right="-427"/>
              <w:jc w:val="both"/>
              <w:rPr>
                <w:rFonts/>
                <w:color w:val="262626" w:themeColor="text1" w:themeTint="D9"/>
              </w:rPr>
            </w:pPr>
            <w:r>
              <w:t>	-19,3</w:t>
            </w:r>
          </w:p>
          <w:p>
            <w:pPr>
              <w:ind w:left="-284" w:right="-427"/>
              <w:jc w:val="both"/>
              <w:rPr>
                <w:rFonts/>
                <w:color w:val="262626" w:themeColor="text1" w:themeTint="D9"/>
              </w:rPr>
            </w:pPr>
            <w:r>
              <w:t>	Resultado de Explotación (EBIT)</w:t>
            </w:r>
          </w:p>
          <w:p>
            <w:pPr>
              <w:ind w:left="-284" w:right="-427"/>
              <w:jc w:val="both"/>
              <w:rPr>
                <w:rFonts/>
                <w:color w:val="262626" w:themeColor="text1" w:themeTint="D9"/>
              </w:rPr>
            </w:pPr>
            <w:r>
              <w:t>	129</w:t>
            </w:r>
          </w:p>
          <w:p>
            <w:pPr>
              <w:ind w:left="-284" w:right="-427"/>
              <w:jc w:val="both"/>
              <w:rPr>
                <w:rFonts/>
                <w:color w:val="262626" w:themeColor="text1" w:themeTint="D9"/>
              </w:rPr>
            </w:pPr>
            <w:r>
              <w:t>	110</w:t>
            </w:r>
          </w:p>
          <w:p>
            <w:pPr>
              <w:ind w:left="-284" w:right="-427"/>
              <w:jc w:val="both"/>
              <w:rPr>
                <w:rFonts/>
                <w:color w:val="262626" w:themeColor="text1" w:themeTint="D9"/>
              </w:rPr>
            </w:pPr>
            <w:r>
              <w:t>	17</w:t>
            </w:r>
          </w:p>
          <w:p>
            <w:pPr>
              <w:ind w:left="-284" w:right="-427"/>
              <w:jc w:val="both"/>
              <w:rPr>
                <w:rFonts/>
                <w:color w:val="262626" w:themeColor="text1" w:themeTint="D9"/>
              </w:rPr>
            </w:pPr>
            <w:r>
              <w:t>	Beneficio antes de impuestos (BAI)</w:t>
            </w:r>
          </w:p>
          <w:p>
            <w:pPr>
              <w:ind w:left="-284" w:right="-427"/>
              <w:jc w:val="both"/>
              <w:rPr>
                <w:rFonts/>
                <w:color w:val="262626" w:themeColor="text1" w:themeTint="D9"/>
              </w:rPr>
            </w:pPr>
            <w:r>
              <w:t>	41</w:t>
            </w:r>
          </w:p>
          <w:p>
            <w:pPr>
              <w:ind w:left="-284" w:right="-427"/>
              <w:jc w:val="both"/>
              <w:rPr>
                <w:rFonts/>
                <w:color w:val="262626" w:themeColor="text1" w:themeTint="D9"/>
              </w:rPr>
            </w:pPr>
            <w:r>
              <w:t>	41</w:t>
            </w:r>
          </w:p>
          <w:p>
            <w:pPr>
              <w:ind w:left="-284" w:right="-427"/>
              <w:jc w:val="both"/>
              <w:rPr>
                <w:rFonts/>
                <w:color w:val="262626" w:themeColor="text1" w:themeTint="D9"/>
              </w:rPr>
            </w:pPr>
            <w:r>
              <w:t>	0,5</w:t>
            </w:r>
          </w:p>
          <w:p>
            <w:pPr>
              <w:ind w:left="-284" w:right="-427"/>
              <w:jc w:val="both"/>
              <w:rPr>
                <w:rFonts/>
                <w:color w:val="262626" w:themeColor="text1" w:themeTint="D9"/>
              </w:rPr>
            </w:pPr>
            <w:r>
              <w:t>	Beneficio neto atribuible</w:t>
            </w:r>
          </w:p>
          <w:p>
            <w:pPr>
              <w:ind w:left="-284" w:right="-427"/>
              <w:jc w:val="both"/>
              <w:rPr>
                <w:rFonts/>
                <w:color w:val="262626" w:themeColor="text1" w:themeTint="D9"/>
              </w:rPr>
            </w:pPr>
            <w:r>
              <w:t>	33</w:t>
            </w:r>
          </w:p>
          <w:p>
            <w:pPr>
              <w:ind w:left="-284" w:right="-427"/>
              <w:jc w:val="both"/>
              <w:rPr>
                <w:rFonts/>
                <w:color w:val="262626" w:themeColor="text1" w:themeTint="D9"/>
              </w:rPr>
            </w:pPr>
            <w:r>
              <w:t>	34</w:t>
            </w:r>
          </w:p>
          <w:p>
            <w:pPr>
              <w:ind w:left="-284" w:right="-427"/>
              <w:jc w:val="both"/>
              <w:rPr>
                <w:rFonts/>
                <w:color w:val="262626" w:themeColor="text1" w:themeTint="D9"/>
              </w:rPr>
            </w:pPr>
            <w:r>
              <w:t>	-3,5</w:t>
            </w:r>
          </w:p>
          <w:p>
            <w:pPr>
              <w:ind w:left="-284" w:right="-427"/>
              <w:jc w:val="both"/>
              <w:rPr>
                <w:rFonts/>
                <w:color w:val="262626" w:themeColor="text1" w:themeTint="D9"/>
              </w:rPr>
            </w:pPr>
            <w:r>
              <w:t>	Magnitudes Balance</w:t>
            </w:r>
          </w:p>
          <w:p>
            <w:pPr>
              <w:ind w:left="-284" w:right="-427"/>
              <w:jc w:val="both"/>
              <w:rPr>
                <w:rFonts/>
                <w:color w:val="262626" w:themeColor="text1" w:themeTint="D9"/>
              </w:rPr>
            </w:pPr>
            <w:r>
              <w:t>		(Millones de Euros)</w:t>
            </w:r>
          </w:p>
          <w:p>
            <w:pPr>
              <w:ind w:left="-284" w:right="-427"/>
              <w:jc w:val="both"/>
              <w:rPr>
                <w:rFonts/>
                <w:color w:val="262626" w:themeColor="text1" w:themeTint="D9"/>
              </w:rPr>
            </w:pPr>
            <w:r>
              <w:t>	31/03/2014</w:t>
            </w:r>
          </w:p>
          <w:p>
            <w:pPr>
              <w:ind w:left="-284" w:right="-427"/>
              <w:jc w:val="both"/>
              <w:rPr>
                <w:rFonts/>
                <w:color w:val="262626" w:themeColor="text1" w:themeTint="D9"/>
              </w:rPr>
            </w:pPr>
            <w:r>
              <w:t>	31/12/2013</w:t>
            </w:r>
          </w:p>
          <w:p>
            <w:pPr>
              <w:ind w:left="-284" w:right="-427"/>
              <w:jc w:val="both"/>
              <w:rPr>
                <w:rFonts/>
                <w:color w:val="262626" w:themeColor="text1" w:themeTint="D9"/>
              </w:rPr>
            </w:pPr>
            <w:r>
              <w:t>	Patrimonio Neto</w:t>
            </w:r>
          </w:p>
          <w:p>
            <w:pPr>
              <w:ind w:left="-284" w:right="-427"/>
              <w:jc w:val="both"/>
              <w:rPr>
                <w:rFonts/>
                <w:color w:val="262626" w:themeColor="text1" w:themeTint="D9"/>
              </w:rPr>
            </w:pPr>
            <w:r>
              <w:t>	3.435</w:t>
            </w:r>
          </w:p>
          <w:p>
            <w:pPr>
              <w:ind w:left="-284" w:right="-427"/>
              <w:jc w:val="both"/>
              <w:rPr>
                <w:rFonts/>
                <w:color w:val="262626" w:themeColor="text1" w:themeTint="D9"/>
              </w:rPr>
            </w:pPr>
            <w:r>
              <w:t>	3.396</w:t>
            </w:r>
          </w:p>
          <w:p>
            <w:pPr>
              <w:ind w:left="-284" w:right="-427"/>
              <w:jc w:val="both"/>
              <w:rPr>
                <w:rFonts/>
                <w:color w:val="262626" w:themeColor="text1" w:themeTint="D9"/>
              </w:rPr>
            </w:pPr>
            <w:r>
              <w:t>	Deuda neta</w:t>
            </w:r>
          </w:p>
          <w:p>
            <w:pPr>
              <w:ind w:left="-284" w:right="-427"/>
              <w:jc w:val="both"/>
              <w:rPr>
                <w:rFonts/>
                <w:color w:val="262626" w:themeColor="text1" w:themeTint="D9"/>
              </w:rPr>
            </w:pPr>
            <w:r>
              <w:t>	5.902</w:t>
            </w:r>
          </w:p>
          <w:p>
            <w:pPr>
              <w:ind w:left="-284" w:right="-427"/>
              <w:jc w:val="both"/>
              <w:rPr>
                <w:rFonts/>
                <w:color w:val="262626" w:themeColor="text1" w:themeTint="D9"/>
              </w:rPr>
            </w:pPr>
            <w:r>
              <w:t>	6.040</w:t>
            </w:r>
          </w:p>
          <w:p>
            <w:pPr>
              <w:ind w:left="-284" w:right="-427"/>
              <w:jc w:val="both"/>
              <w:rPr>
                <w:rFonts/>
                <w:color w:val="262626" w:themeColor="text1" w:themeTint="D9"/>
              </w:rPr>
            </w:pPr>
            <w:r>
              <w:t>	Apalancamiento Financiero</w:t>
            </w:r>
          </w:p>
          <w:p>
            <w:pPr>
              <w:ind w:left="-284" w:right="-427"/>
              <w:jc w:val="both"/>
              <w:rPr>
                <w:rFonts/>
                <w:color w:val="262626" w:themeColor="text1" w:themeTint="D9"/>
              </w:rPr>
            </w:pPr>
            <w:r>
              <w:t>	172 %</w:t>
            </w:r>
          </w:p>
          <w:p>
            <w:pPr>
              <w:ind w:left="-284" w:right="-427"/>
              <w:jc w:val="both"/>
              <w:rPr>
                <w:rFonts/>
                <w:color w:val="262626" w:themeColor="text1" w:themeTint="D9"/>
              </w:rPr>
            </w:pPr>
            <w:r>
              <w:t>	178 %</w:t>
            </w:r>
          </w:p>
          <w:p>
            <w:pPr>
              <w:ind w:left="-284" w:right="-427"/>
              <w:jc w:val="both"/>
              <w:rPr>
                <w:rFonts/>
                <w:color w:val="262626" w:themeColor="text1" w:themeTint="D9"/>
              </w:rPr>
            </w:pPr>
            <w:r>
              <w:t>	(Millones de euros)</w:t>
            </w:r>
          </w:p>
          <w:p>
            <w:pPr>
              <w:ind w:left="-284" w:right="-427"/>
              <w:jc w:val="both"/>
              <w:rPr>
                <w:rFonts/>
                <w:color w:val="262626" w:themeColor="text1" w:themeTint="D9"/>
              </w:rPr>
            </w:pPr>
            <w:r>
              <w:t>	Ene-Mar	2014</w:t>
            </w:r>
          </w:p>
          <w:p>
            <w:pPr>
              <w:ind w:left="-284" w:right="-427"/>
              <w:jc w:val="both"/>
              <w:rPr>
                <w:rFonts/>
                <w:color w:val="262626" w:themeColor="text1" w:themeTint="D9"/>
              </w:rPr>
            </w:pPr>
            <w:r>
              <w:t>	Ene-Mar	2013</w:t>
            </w:r>
          </w:p>
          <w:p>
            <w:pPr>
              <w:ind w:left="-284" w:right="-427"/>
              <w:jc w:val="both"/>
              <w:rPr>
                <w:rFonts/>
                <w:color w:val="262626" w:themeColor="text1" w:themeTint="D9"/>
              </w:rPr>
            </w:pPr>
            <w:r>
              <w:t>	Inversión neta ordinaria</w:t>
            </w:r>
          </w:p>
          <w:p>
            <w:pPr>
              <w:ind w:left="-284" w:right="-427"/>
              <w:jc w:val="both"/>
              <w:rPr>
                <w:rFonts/>
                <w:color w:val="262626" w:themeColor="text1" w:themeTint="D9"/>
              </w:rPr>
            </w:pPr>
            <w:r>
              <w:t>	84</w:t>
            </w:r>
          </w:p>
          <w:p>
            <w:pPr>
              <w:ind w:left="-284" w:right="-427"/>
              <w:jc w:val="both"/>
              <w:rPr>
                <w:rFonts/>
                <w:color w:val="262626" w:themeColor="text1" w:themeTint="D9"/>
              </w:rPr>
            </w:pPr>
            <w:r>
              <w:t>	84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Acciona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https://www.notasdeprensa.es/acciona-gana-33-millones-euros-primer_1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