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13/09/2013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ACCIONA cotiza como electrica en el indice Dow Jones de Sostenibilidad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ACCIONA ha revalidado su presencia en el índice Dow Jones de Sostenibilidad Mundial (DJSI World) aunque con una novedad: la compañía se ha integrado en el sector industrial de " ElectricUtilities" en virtud del cambio que ha experimentado su perfil de negocio en los últimos años, con un mayor peso de las energías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cambio de sector ha supuesto un importante reto, puesto queimplica una modificación en los parámetros y aspectos sujetos aevaluación y la necesidad de abordar nuevas métricas. En estecontexto, la presencia en el índice DJSI World ratifica lacapacidad de ACCIONA de estar en la vanguardia de la implantaciónde políticas de sostenibilidad corporativa.</w:t>
            </w:r>
          </w:p>
          <w:p>
            <w:pPr>
              <w:ind w:left="-284" w:right="-427"/>
              <w:jc w:val="both"/>
              <w:rPr>
                <w:rFonts/>
                <w:color w:val="262626" w:themeColor="text1" w:themeTint="D9"/>
              </w:rPr>
            </w:pPr>
            <w:r>
              <w:t>	ACCIONA ha visto reconocido su esfuerzo de buscar el equilibrioentre los tres ámbitos que definen el nivel de la sostenibilidad deuna compañía, de forma que su posición en los índices recoge unavaloración muy alineada en las tres dimensiones: ambiental,económica y social.</w:t>
            </w:r>
          </w:p>
          <w:p>
            <w:pPr>
              <w:ind w:left="-284" w:right="-427"/>
              <w:jc w:val="both"/>
              <w:rPr>
                <w:rFonts/>
                <w:color w:val="262626" w:themeColor="text1" w:themeTint="D9"/>
              </w:rPr>
            </w:pPr>
            <w:r>
              <w:t>	En la dimensión económica, sobresale la valoración de lapolítica antitrust, del código de conducta y la gestión del riesgoderivado de cambios en el precio de la energía. En el ámbitomedioambiental, destaca en especial la buena valoración de suestrategia sobre el cambio climático, y su reporte de indicadores einiciativas ambientales. Por último, en la dimensión social, se haavanzado en materia de atracción y retención del talento y elreporte social. </w:t>
            </w:r>
          </w:p>
          <w:p>
            <w:pPr>
              <w:ind w:left="-284" w:right="-427"/>
              <w:jc w:val="both"/>
              <w:rPr>
                <w:rFonts/>
                <w:color w:val="262626" w:themeColor="text1" w:themeTint="D9"/>
              </w:rPr>
            </w:pPr>
            <w:r>
              <w:t>	El índice DJSI World 2013/2014 contará con un total de 333valores, seleccionados entre un total de cerca de 3.000 compañíasinvitadas a participar en la evaluación, y su nueva composiciónentrará en vigor el próximo 23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Acciona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https://www.notasdeprensa.es/acciona-cotiza-como-electrica-en-el-indice-dow_1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