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Abengoa anuncia los resultados del primer semestre de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Sólido comportamiento del negocio: continúa el crecimiento en Ebitda (9 %).</w:t>
            </w:r>
          </w:p>
          <w:p>
            <w:pPr>
              <w:ind w:left="-284" w:right="-427"/>
              <w:jc w:val="both"/>
              <w:rPr>
                <w:rFonts/>
                <w:color w:val="262626" w:themeColor="text1" w:themeTint="D9"/>
              </w:rPr>
            </w:pPr>
            <w:r>
              <w:t>		Fuerte contratación que ha supuesto un nuevo record en la cartera de negocio de ingeniería y construcción (E and C) de 8.833 M€.</w:t>
            </w:r>
          </w:p>
          <w:p>
            <w:pPr>
              <w:ind w:left="-284" w:right="-427"/>
              <w:jc w:val="both"/>
              <w:rPr>
                <w:rFonts/>
                <w:color w:val="262626" w:themeColor="text1" w:themeTint="D9"/>
              </w:rPr>
            </w:pPr>
            <w:r>
              <w:t>		El beneficio neto de los seis meses se situó en 72 M€, un crecimiento del 5 % respecto a 2014.</w:t>
            </w:r>
          </w:p>
          <w:p>
            <w:pPr>
              <w:ind w:left="-284" w:right="-427"/>
              <w:jc w:val="both"/>
              <w:rPr>
                <w:rFonts/>
                <w:color w:val="262626" w:themeColor="text1" w:themeTint="D9"/>
              </w:rPr>
            </w:pPr>
            <w:r>
              <w:t>	31 de julio de 2015.- Abengoa (MCE: ABG.B/P SM /NASDAQ: ABGB), compañía internacional que aplica soluciones tecnológicas innovadoras para el desarrollo sostenible en los sectores de energía y medioambiente, registró unas ventas de 3.390 M€ durante los seis primeros meses de 2015, lo que supone un incremento del 3 % respecto al mismo periodo del año anterior. El Ebitda creció un 9 % hasta 650 millones de euros, mientras que el beneficio neto alcanzó los 72 millones de euros, un incremento del 5 % en comparación con el mismo periodo de 2014.</w:t>
            </w:r>
          </w:p>
          <w:p>
            <w:pPr>
              <w:ind w:left="-284" w:right="-427"/>
              <w:jc w:val="both"/>
              <w:rPr>
                <w:rFonts/>
                <w:color w:val="262626" w:themeColor="text1" w:themeTint="D9"/>
              </w:rPr>
            </w:pPr>
            <w:r>
              <w:t>	A fecha de 30 de junio, la cartera de negocio de ingeniería y construcción (E and C) alcanzó un nuevo nivel record de 8.833 M€, un crecimiento del 3 %, comparado con el trimestre anterior. El ratio de deuda neta corporativa con respecto al Ebitda corporativo (Ratio de Apalancamiento Corporativo) a fecha de 30 de junio de 2015 fue de 2,5x, una reducción de 0,1x en comparación con el 31 de marzo 2015.</w:t>
            </w:r>
          </w:p>
          <w:p>
            <w:pPr>
              <w:ind w:left="-284" w:right="-427"/>
              <w:jc w:val="both"/>
              <w:rPr>
                <w:rFonts/>
                <w:color w:val="262626" w:themeColor="text1" w:themeTint="D9"/>
              </w:rPr>
            </w:pPr>
            <w:r>
              <w:t>	La diversificación geográfica de Abengoa continúa siendo uno de los factores clave para su estrategia y crecimiento. América del Sur y América del Norte, que representan un 36 % y un 28 %, respectivamente, de las ventas de estos seis meses, siguen siendo regiones clave para Abengoa. Las áreas geográficas restantes permanecen estables: España representa el 14 %, el resto de Europa el 10 %, África el 9 % y Oriente Medio y Asia el 3 %.</w:t>
            </w:r>
          </w:p>
          <w:p>
            <w:pPr>
              <w:ind w:left="-284" w:right="-427"/>
              <w:jc w:val="both"/>
              <w:rPr>
                <w:rFonts/>
                <w:color w:val="262626" w:themeColor="text1" w:themeTint="D9"/>
              </w:rPr>
            </w:pPr>
            <w:r>
              <w:t>	Resultados por segmentos</w:t>
            </w:r>
          </w:p>
          <w:p>
            <w:pPr>
              <w:ind w:left="-284" w:right="-427"/>
              <w:jc w:val="both"/>
              <w:rPr>
                <w:rFonts/>
                <w:color w:val="262626" w:themeColor="text1" w:themeTint="D9"/>
              </w:rPr>
            </w:pPr>
            <w:r>
              <w:t>	Las ventas en el segmento de ingeniería y construcción crecieron un 4 % hasta alcanzar los 2.159 M€, mientras que el Ebitda se incrementó en un 23 % hasta los 450 M€, alcanzando márgenes del 20,8 %, impulsados principalmente por una mayor proporción de proyectos con alto componente tecnológico, especialmente durante el primer trimestre. El grupo de ingeniería y construcción tuvo un ritmo de contratación positivo durante los seis primeros meses de 2015, que ascendió a 3.035 M€, un incremento interanual del 3 %. Esto hace que la cartera de pedidos al final de junio de 2015 alcance la cifra de 8.833 M€, un incremento del 3 % contra el trimestre anterior. Además, la cartera de oportunidades comerciales identificadas se mantiene a aproximadamente 164.000 M€.</w:t>
            </w:r>
          </w:p>
          <w:p>
            <w:pPr>
              <w:ind w:left="-284" w:right="-427"/>
              <w:jc w:val="both"/>
              <w:rPr>
                <w:rFonts/>
                <w:color w:val="262626" w:themeColor="text1" w:themeTint="D9"/>
              </w:rPr>
            </w:pPr>
            <w:r>
              <w:t>	Las ventas en el segmento de infraestructuras de tipo concesional aumentaron un 16 % alcanzando los 259 M€, mientras que el Ebitda aumentó un 28 % hasta situarse en los 184 M€. El incremento se debe principalmente a los nuevos activos que han entrado en funcionamiento y a la mejora de los márgenes debido a eficiencias logradas en la operación de activos. La cartera de ventas a largo plazo contratadas en el segmento de infraestructuras de tipo concesional totalizaron, a fecha de 30 de junio de 2015, 31.700 M€, lo que supone más del doble de la cifra de junio de 2014. La vida media restante de los activos concesionales superó los 25 años.</w:t>
            </w:r>
          </w:p>
          <w:p>
            <w:pPr>
              <w:ind w:left="-284" w:right="-427"/>
              <w:jc w:val="both"/>
              <w:rPr>
                <w:rFonts/>
                <w:color w:val="262626" w:themeColor="text1" w:themeTint="D9"/>
              </w:rPr>
            </w:pPr>
            <w:r>
              <w:t>	En el segmento de producción industrial, que incluye el negocio de bioenergía, las condiciones de mercado del segundo trimestre han mejorado significativamente en Europa, pero siguen planteando desafíos en Estados Unidos, causando un impacto negativo en los márgenes y el Ebitda. Como resultado, los ingresos disminuyeron un 2 % a 972 M€  con un Ebitda de 16 M€, una disminución del 81 % en comparación con los 84 M€ de los seis primeros meses de 2014.</w:t>
            </w:r>
          </w:p>
          <w:p>
            <w:pPr>
              <w:ind w:left="-284" w:right="-427"/>
              <w:jc w:val="both"/>
              <w:rPr>
                <w:rFonts/>
                <w:color w:val="262626" w:themeColor="text1" w:themeTint="D9"/>
              </w:rPr>
            </w:pPr>
            <w:r>
              <w:t>	Transacciones Corporativas</w:t>
            </w:r>
          </w:p>
          <w:p>
            <w:pPr>
              <w:ind w:left="-284" w:right="-427"/>
              <w:jc w:val="both"/>
              <w:rPr>
                <w:rFonts/>
                <w:color w:val="262626" w:themeColor="text1" w:themeTint="D9"/>
              </w:rPr>
            </w:pPr>
            <w:r>
              <w:t>	En el primer semestre de 2015, Abengoa ha realizado las siguientes desinversiones: </w:t>
            </w:r>
          </w:p>
          <w:p>
            <w:pPr>
              <w:ind w:left="-284" w:right="-427"/>
              <w:jc w:val="both"/>
              <w:rPr>
                <w:rFonts/>
                <w:color w:val="262626" w:themeColor="text1" w:themeTint="D9"/>
              </w:rPr>
            </w:pPr>
            <w:r>
              <w:t>		Abengoa ha completado la segunda y tercera venta de activos a Abengoa Yield por unos ingresos totales combinados de 411 M€. Adicionalmente, el 27 de julio de 2015, Abengoa y Abengoa Yield han cerrado un acuerdo para la venta del cuarto paquete de activos, por valor de 277 M€.</w:t>
            </w:r>
          </w:p>
          <w:p>
            <w:pPr>
              <w:ind w:left="-284" w:right="-427"/>
              <w:jc w:val="both"/>
              <w:rPr>
                <w:rFonts/>
                <w:color w:val="262626" w:themeColor="text1" w:themeTint="D9"/>
              </w:rPr>
            </w:pPr>
            <w:r>
              <w:t>		En marzo de 2015, Abengoa firmó un acuerdo con EIG Global Partners para crear conjuntamente Abengoa Project Warehouse 1 (APW-1).</w:t>
            </w:r>
          </w:p>
          <w:p>
            <w:pPr>
              <w:ind w:left="-284" w:right="-427"/>
              <w:jc w:val="both"/>
              <w:rPr>
                <w:rFonts/>
                <w:color w:val="262626" w:themeColor="text1" w:themeTint="D9"/>
              </w:rPr>
            </w:pPr>
            <w:r>
              <w:t>		Reducción adicional de su participación en Abengoa Yield, a través de la venta del 13 % de su participación, por más de 270 M€. Adicionalmente, en julio de 2015, Abengoa realizó una venta adicional del 2 % de su participación en Abengoa Yield por valor de 56 M€. En la actualidad, Abengoa mantiene un participación del 49 % en Abengoa Yield.</w:t>
            </w:r>
          </w:p>
          <w:p>
            <w:pPr>
              <w:ind w:left="-284" w:right="-427"/>
              <w:jc w:val="both"/>
              <w:rPr>
                <w:rFonts/>
                <w:color w:val="262626" w:themeColor="text1" w:themeTint="D9"/>
              </w:rPr>
            </w:pPr>
            <w:r>
              <w:t>	Detalles de la conferencia de presentación de resultados</w:t>
            </w:r>
          </w:p>
          <w:p>
            <w:pPr>
              <w:ind w:left="-284" w:right="-427"/>
              <w:jc w:val="both"/>
              <w:rPr>
                <w:rFonts/>
                <w:color w:val="262626" w:themeColor="text1" w:themeTint="D9"/>
              </w:rPr>
            </w:pPr>
            <w:r>
              <w:t>	El vicepresidente primero y consejero delegado de Abengoa, Santiago Seage, y el co-director financiero de relación con inversores y mercado de capitales, Ignacio García-Alvear, celebrarán una conferencia el viernes, 31 de julio de 2015, que se emitirá simultáneamente en la web a las 6:00 p.m, hora de Madrid y a las 12:00 p.m., hora de Nueva York.</w:t>
            </w:r>
          </w:p>
          <w:p>
            <w:pPr>
              <w:ind w:left="-284" w:right="-427"/>
              <w:jc w:val="both"/>
              <w:rPr>
                <w:rFonts/>
                <w:color w:val="262626" w:themeColor="text1" w:themeTint="D9"/>
              </w:rPr>
            </w:pPr>
            <w:r>
              <w:t>	Para poder tener acceso a la conferencia, los participantes deberán marcar el número +34 91 789 51 29. Dicha conferencia podrá ser seguida en directo a través de la página web de Abengoa. Es recomendable acceder a la página web al menos 15 minutos antes del comienzo de la misma para poder registrarse y descargar el software de audio necesario para poder escucharla.</w:t>
            </w:r>
          </w:p>
          <w:p>
            <w:pPr>
              <w:ind w:left="-284" w:right="-427"/>
              <w:jc w:val="both"/>
              <w:rPr>
                <w:rFonts/>
                <w:color w:val="262626" w:themeColor="text1" w:themeTint="D9"/>
              </w:rPr>
            </w:pPr>
            <w:r>
              <w:t>	Una grabación de la conferencia estará disponible en la página de relaciones con inversores de la web de Abengoa aproximadamente dos horas después de que la conferencia haya finalizado.</w:t>
            </w:r>
          </w:p>
          <w:p>
            <w:pPr>
              <w:ind w:left="-284" w:right="-427"/>
              <w:jc w:val="both"/>
              <w:rPr>
                <w:rFonts/>
                <w:color w:val="262626" w:themeColor="text1" w:themeTint="D9"/>
              </w:rPr>
            </w:pPr>
            <w:r>
              <w:t>	Acerca de Abengoa</w:t>
            </w:r>
          </w:p>
          <w:p>
            <w:pPr>
              <w:ind w:left="-284" w:right="-427"/>
              <w:jc w:val="both"/>
              <w:rPr>
                <w:rFonts/>
                <w:color w:val="262626" w:themeColor="text1" w:themeTint="D9"/>
              </w:rPr>
            </w:pPr>
            <w:r>
              <w:t>	Abengoa (MCE: ABG.B/P SM /NASDAQ: ABGB) aplica soluciones tecnológicas innovadoras para el desarrollo sostenible en los sectores de energía y medioambiente, generando electricidad a partir de recursos renovables, transformando biomasa en biocombustibles o produciendo agua potable a partir del agua de mar. (www.abengoa.com)</w:t>
            </w:r>
          </w:p>
          <w:p>
            <w:pPr>
              <w:ind w:left="-284" w:right="-427"/>
              <w:jc w:val="both"/>
              <w:rPr>
                <w:rFonts/>
                <w:color w:val="262626" w:themeColor="text1" w:themeTint="D9"/>
              </w:rPr>
            </w:pPr>
            <w:r>
              <w:t>	Departamento de Comunicación:</w:t>
            </w:r>
          </w:p>
          <w:p>
            <w:pPr>
              <w:ind w:left="-284" w:right="-427"/>
              <w:jc w:val="both"/>
              <w:rPr>
                <w:rFonts/>
                <w:color w:val="262626" w:themeColor="text1" w:themeTint="D9"/>
              </w:rPr>
            </w:pPr>
            <w:r>
              <w:t>	Patricia Malo de Molina Meléndez.</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communication@abengoa.com</w:t>
            </w:r>
          </w:p>
          <w:p>
            <w:pPr>
              <w:ind w:left="-284" w:right="-427"/>
              <w:jc w:val="both"/>
              <w:rPr>
                <w:rFonts/>
                <w:color w:val="262626" w:themeColor="text1" w:themeTint="D9"/>
              </w:rPr>
            </w:pPr>
            <w:r>
              <w:t>	Relación con inversores:</w:t>
            </w:r>
          </w:p>
          <w:p>
            <w:pPr>
              <w:ind w:left="-284" w:right="-427"/>
              <w:jc w:val="both"/>
              <w:rPr>
                <w:rFonts/>
                <w:color w:val="262626" w:themeColor="text1" w:themeTint="D9"/>
              </w:rPr>
            </w:pPr>
            <w:r>
              <w:t>	Ignacio García Alvear.</w:t>
            </w:r>
          </w:p>
          <w:p>
            <w:pPr>
              <w:ind w:left="-284" w:right="-427"/>
              <w:jc w:val="both"/>
              <w:rPr>
                <w:rFonts/>
                <w:color w:val="262626" w:themeColor="text1" w:themeTint="D9"/>
              </w:rPr>
            </w:pPr>
            <w:r>
              <w:t>	Tel. +34 954 937 111</w:t>
            </w:r>
          </w:p>
          <w:p>
            <w:pPr>
              <w:ind w:left="-284" w:right="-427"/>
              <w:jc w:val="both"/>
              <w:rPr>
                <w:rFonts/>
                <w:color w:val="262626" w:themeColor="text1" w:themeTint="D9"/>
              </w:rPr>
            </w:pPr>
            <w:r>
              <w:t>	E-mail: ir@abengoa.com</w:t>
            </w:r>
          </w:p>
          <w:p>
            <w:pPr>
              <w:ind w:left="-284" w:right="-427"/>
              <w:jc w:val="both"/>
              <w:rPr>
                <w:rFonts/>
                <w:color w:val="262626" w:themeColor="text1" w:themeTint="D9"/>
              </w:rPr>
            </w:pPr>
            <w:r>
              <w:t>	Puedes seguirnos también en:</w:t>
            </w:r>
          </w:p>
          <w:p>
            <w:pPr>
              <w:ind w:left="-284" w:right="-427"/>
              <w:jc w:val="both"/>
              <w:rPr>
                <w:rFonts/>
                <w:color w:val="262626" w:themeColor="text1" w:themeTint="D9"/>
              </w:rPr>
            </w:pPr>
            <w:r>
              <w:t>	Y en nuestro blog: http://www.laenergiadelcambio.com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https://www.notasdeprensa.es/abengoa-anuncia-los-resultados-del-primer_3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