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medidas para dinamizar el sector de las reformas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construcción aporta un 10% al PIB en España, mayoritariamente en reformas y rehabilitaciones, por lo que son necesarias nuevas medidas en el sector que permitan reactivar la economía del país tras la COVID-19, señala Reiteman Madrid, empresa de reformas integrales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Distribuidores de Cerámica y Materiales de Construcción (Andimac), tras diferentes análisis señala que el sector de las reformas y rehabilitaciones podría desplomarse hasta un 22% este año como consecuencia de la pandemia. Así mismo, el secretario general de Andimac, Sebastián Molinero, ha insistido a las empresas de reformas a desarrollar nuevas medidas para hacer un cambio ante esta situación, “el comportamiento del sector dependerá de la evolución de la pandemia, del control de los rebrotes y de la situación del mercado laboral”</w:t>
            </w:r>
          </w:p>
          <w:p>
            <w:pPr>
              <w:ind w:left="-284" w:right="-427"/>
              <w:jc w:val="both"/>
              <w:rPr>
                <w:rFonts/>
                <w:color w:val="262626" w:themeColor="text1" w:themeTint="D9"/>
              </w:rPr>
            </w:pPr>
            <w:r>
              <w:t>De esta forma, empresas del sector han puesto en marcha todos sus esfuerzos por crear dinámicas que contribuyan a la reconstrucción económica del país y el sector de las reformas en España. En este sentido,</w:t>
            </w:r>
          </w:p>
          <w:p>
            <w:pPr>
              <w:ind w:left="-284" w:right="-427"/>
              <w:jc w:val="both"/>
              <w:rPr>
                <w:rFonts/>
                <w:color w:val="262626" w:themeColor="text1" w:themeTint="D9"/>
              </w:rPr>
            </w:pPr>
            <w:r>
              <w:t>desde Reiteman, empresa de reformas integrales en Madrid, se proponen 3 medidas que podrían dinamizar las reformas en 2021, y que servirán como ejemplo para cumplir con el propósito de acabar con el decaimiento del sector.</w:t>
            </w:r>
          </w:p>
          <w:p>
            <w:pPr>
              <w:ind w:left="-284" w:right="-427"/>
              <w:jc w:val="both"/>
              <w:rPr>
                <w:rFonts/>
                <w:color w:val="262626" w:themeColor="text1" w:themeTint="D9"/>
              </w:rPr>
            </w:pPr>
            <w:r>
              <w:t>Apostar por la economíaCon varios años de experiencia en el sector, Reiteman Madrid señala que apostar por el sector de rehabilitación y reformas es una de las claves a corto plazo para la reconstrucción económica del país. “La construcción aporta un 10% al PIB en España, y más que las nuevas construcciones urbanísticas, el área que más contribuye es la de rehabilitación y reformas, por tanto, es muy importante tomar medidas para el regreso a la normalidad económica del país en un futuro próximo”, recalca.</w:t>
            </w:r>
          </w:p>
          <w:p>
            <w:pPr>
              <w:ind w:left="-284" w:right="-427"/>
              <w:jc w:val="both"/>
              <w:rPr>
                <w:rFonts/>
                <w:color w:val="262626" w:themeColor="text1" w:themeTint="D9"/>
              </w:rPr>
            </w:pPr>
            <w:r>
              <w:t>Incentivar las deducciones fiscalesReiteman Madrid también se suma a la larga lista de empresas que demandan deducciones fiscales y rebajas de IVA para las reformas en 2021. El principal propósito de estas reclamaciones es deducir hasta el 65% el coste a familias y propietarios que realicen trabajos de rehabilitación y reforma.</w:t>
            </w:r>
          </w:p>
          <w:p>
            <w:pPr>
              <w:ind w:left="-284" w:right="-427"/>
              <w:jc w:val="both"/>
              <w:rPr>
                <w:rFonts/>
                <w:color w:val="262626" w:themeColor="text1" w:themeTint="D9"/>
              </w:rPr>
            </w:pPr>
            <w:r>
              <w:t>Tal y como ha publicado Andimac, la recuperación de la deducción en el IRPF por reformar la vivienda habitual podría beneficiar hasta 27.000 contribuyentes que podrían llegar a deducirse hasta 100 millones de euros. Ahorro que incrementaría el número de obras de mejora y mantenimiento llegando a un mayor retorno para las arcas públicas a través del IVA. Una medida que tal y como remarca Andimac, sería un incentivo para emerger 8.000 millones de euros de economía sumergida.</w:t>
            </w:r>
          </w:p>
          <w:p>
            <w:pPr>
              <w:ind w:left="-284" w:right="-427"/>
              <w:jc w:val="both"/>
              <w:rPr>
                <w:rFonts/>
                <w:color w:val="262626" w:themeColor="text1" w:themeTint="D9"/>
              </w:rPr>
            </w:pPr>
            <w:r>
              <w:t>En la misma línea, Reiteman Madrid apunta a que “se podría seguir también el modelo de Italia en el que se busca implementar un sistema de bonus durante un plazo limitado de tiempo. Como resultado, quienes deseen llevar a cabo diferentes reformas cuenten con mayores oportunidades, aumentando así la producción del sector.</w:t>
            </w:r>
          </w:p>
          <w:p>
            <w:pPr>
              <w:ind w:left="-284" w:right="-427"/>
              <w:jc w:val="both"/>
              <w:rPr>
                <w:rFonts/>
                <w:color w:val="262626" w:themeColor="text1" w:themeTint="D9"/>
              </w:rPr>
            </w:pPr>
            <w:r>
              <w:t>Mayor financiaciónPese al informe realizado por Andimac sobre la posible situación del sector en los futuros meses, algunas empresas, como Reiteman Madrid, contemplan el posible efecto positivo que tendrían los fondos europeos aprobados para la reconstrucción social y económica de los países comunitarios, de los cuales España recibirá hasta 140.000 millones de euros.</w:t>
            </w:r>
          </w:p>
          <w:p>
            <w:pPr>
              <w:ind w:left="-284" w:right="-427"/>
              <w:jc w:val="both"/>
              <w:rPr>
                <w:rFonts/>
                <w:color w:val="262626" w:themeColor="text1" w:themeTint="D9"/>
              </w:rPr>
            </w:pPr>
            <w:r>
              <w:t>Hay que tener en cuenta que estas propuestas se realizan con la finalidad de potenciar e impulsar el sector de las rehabilitaciones y reformas, después del duro golpe que ha representado la reciente pandemia para la economía en general.</w:t>
            </w:r>
          </w:p>
          <w:p>
            <w:pPr>
              <w:ind w:left="-284" w:right="-427"/>
              <w:jc w:val="both"/>
              <w:rPr>
                <w:rFonts/>
                <w:color w:val="262626" w:themeColor="text1" w:themeTint="D9"/>
              </w:rPr>
            </w:pPr>
            <w:r>
              <w:t>Reiteman Madrid es una empresa de reformas integrales que trabaja en toda la Comunidad de Madrid ofreciendo el servicio más completo a sus clientes garantizando el cuidado más atento y la mayor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Reiteman Madrid</w:t>
      </w:r>
    </w:p>
    <w:p w:rsidR="00C31F72" w:rsidRDefault="00C31F72" w:rsidP="00AB63FE">
      <w:pPr>
        <w:pStyle w:val="Sinespaciado"/>
        <w:spacing w:line="276" w:lineRule="auto"/>
        <w:ind w:left="-284"/>
        <w:rPr>
          <w:rFonts w:ascii="Arial" w:hAnsi="Arial" w:cs="Arial"/>
        </w:rPr>
      </w:pPr>
      <w:r>
        <w:rPr>
          <w:rFonts w:ascii="Arial" w:hAnsi="Arial" w:cs="Arial"/>
        </w:rPr>
        <w:t>www.reiteman.com</w:t>
      </w:r>
    </w:p>
    <w:p w:rsidR="00AB63FE" w:rsidRDefault="00C31F72" w:rsidP="00AB63FE">
      <w:pPr>
        <w:pStyle w:val="Sinespaciado"/>
        <w:spacing w:line="276" w:lineRule="auto"/>
        <w:ind w:left="-284"/>
        <w:rPr>
          <w:rFonts w:ascii="Arial" w:hAnsi="Arial" w:cs="Arial"/>
        </w:rPr>
      </w:pPr>
      <w:r>
        <w:rPr>
          <w:rFonts w:ascii="Arial" w:hAnsi="Arial" w:cs="Arial"/>
        </w:rPr>
        <w:t>685 126 265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https://www.notasdeprensa.es/3-medidas-para-dinamizar-el-sector-de-las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