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VORTAL continua en el “Magic Quadrant for Strategic Sourcing Application Suites” publicado por Garnter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tiene como objetivo evaluar a proveedores que hayan conseguido una masa crítica significativa en los mercados en los que opera. Además de VORTAL, destaca la fuerte inversión que ha realizado en el mercado europeo para dar soporte a la implantación de las Nuevas Directivas de Contratación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VORTAL, empresa líder en soluciones de compras electrónica, tanto para el sector público como privado, aparece referenciada por segunda vez consecutiva en el Informe “Magic Quadrant for Strategic Sourcing Application Suites”, realizado por el principal analista TI, Gartner. VORTAL está convencido de que esta distinción es un claro reconocimiento a su crecimiento y éxito en los diferentes proyectos que ha abordado tanto nacional, como internacionalmente, en los últimos meses.</w:t>
            </w:r>
          </w:p>
          <w:p>
            <w:pPr>
              <w:ind w:left="-284" w:right="-427"/>
              <w:jc w:val="both"/>
              <w:rPr>
                <w:rFonts/>
                <w:color w:val="262626" w:themeColor="text1" w:themeTint="D9"/>
              </w:rPr>
            </w:pPr>
            <w:r>
              <w:t>	El Informe en el que VORTAL ha sido mencionado tiene como objetivo evaluar a proveedores que hayan conseguido una masa crítica significativa en los mercados en los que opera. Además de VORTAL destaca la fuerte inversión que ha realizado en el mercado europeo para dar soporte a la implantación de las Nuevas Directivas de Contratación Pública que implantarán la obligatoriedad de la contratación pública electrónica. En 2014, siguiendo con esta estrategia, VORTAL abrió una nueva oficina en Alemania, que se suma a las ya existentes en España, Portugal, Inglaterra, República Checa, Colombia y República Dominicana.</w:t>
            </w:r>
          </w:p>
          <w:p>
            <w:pPr>
              <w:ind w:left="-284" w:right="-427"/>
              <w:jc w:val="both"/>
              <w:rPr>
                <w:rFonts/>
                <w:color w:val="262626" w:themeColor="text1" w:themeTint="D9"/>
              </w:rPr>
            </w:pPr>
            <w:r>
              <w:t>	Para José Luis Arístegui, Director General de VORTAL en España, “ha sido muy satisfactorio volver a ser mencionado en este Informe que analiza a los principales actores a nivel internacional. Esta mención refuerza la capacidad de VORTAL para atender las necesidades tanto de entidades locales, diputaciones o administración central. Además, los contratos adjudicados en Colombia y República Dominicana, o la apertura de nuevas oficinas en Europa,  demuestran nuestra creciente presencia internacional. Estamos seguros de que estos datos, y la calidad de nuestras soluciones, han sido un factor clave para resultar mencionados en el citado Informe”.</w:t>
            </w:r>
          </w:p>
          <w:p>
            <w:pPr>
              <w:ind w:left="-284" w:right="-427"/>
              <w:jc w:val="both"/>
              <w:rPr>
                <w:rFonts/>
                <w:color w:val="262626" w:themeColor="text1" w:themeTint="D9"/>
              </w:rPr>
            </w:pPr>
            <w:r>
              <w:t>	Sobre VORTAL</w:t>
            </w:r>
          </w:p>
          <w:p>
            <w:pPr>
              <w:ind w:left="-284" w:right="-427"/>
              <w:jc w:val="both"/>
              <w:rPr>
                <w:rFonts/>
                <w:color w:val="262626" w:themeColor="text1" w:themeTint="D9"/>
              </w:rPr>
            </w:pPr>
            <w:r>
              <w:t>	VORTAL, con más de 15 años de experiencia,  es la empresa líder en la implantación de plataformas de licitación electrónica en el sector público español. Con más de 2.000 entidades públicas  utilizando nuestra solución en toda Europa, la actividad de VORTAL genera un volumen de contratos adjudicados de más de 14.000 millones de euros. En las plataformas de VORTAL se publican más de 1.200 nuevos procedimientos por semana y se reciben y custodian más de 800 ofertas diarias.</w:t>
            </w:r>
          </w:p>
          <w:p>
            <w:pPr>
              <w:ind w:left="-284" w:right="-427"/>
              <w:jc w:val="both"/>
              <w:rPr>
                <w:rFonts/>
                <w:color w:val="262626" w:themeColor="text1" w:themeTint="D9"/>
              </w:rPr>
            </w:pPr>
            <w:r>
              <w:t>	Nota a medios:</w:t>
            </w:r>
          </w:p>
          <w:p>
            <w:pPr>
              <w:ind w:left="-284" w:right="-427"/>
              <w:jc w:val="both"/>
              <w:rPr>
                <w:rFonts/>
                <w:color w:val="262626" w:themeColor="text1" w:themeTint="D9"/>
              </w:rPr>
            </w:pPr>
            <w:r>
              <w:t>	Gartner no respalda a ningún proveedor , producto o servicio representado en sus publicaciones de investigación , y no aconseja a los futuros usuarios seleccionar sólo a aquellos proveedores con las más altas calificaciones. Las publicaciones de investigación realizadas por Gartner sólo muestran las opiniones de los investigadores de Gartner y no deben ser interpretadas como declaraciones de hechos . Gartner renuncia a todas las garantías, expresas o implícitas , con respecto a esta investigación , incluyendo cualquier garantía de comerciabilidad o aptitud para un propósito en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Puga</w:t>
      </w:r>
    </w:p>
    <w:p w:rsidR="00C31F72" w:rsidRDefault="00C31F72" w:rsidP="00AB63FE">
      <w:pPr>
        <w:pStyle w:val="Sinespaciado"/>
        <w:spacing w:line="276" w:lineRule="auto"/>
        <w:ind w:left="-284"/>
        <w:rPr>
          <w:rFonts w:ascii="Arial" w:hAnsi="Arial" w:cs="Arial"/>
        </w:rPr>
      </w:pPr>
      <w:r>
        <w:rPr>
          <w:rFonts w:ascii="Arial" w:hAnsi="Arial" w:cs="Arial"/>
        </w:rPr>
        <w:t>Director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689 57 78 28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https://www.notasdeprensa.es/vortal-continua-en-el-magic-quadrant-for_1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