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VINCI Energies España adquiere Insitel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VINCI Energies España afianza su presencia en el País Vasco en el sector de infraestructuras (servicios portuarios, ferroviarios, aguas), cuya actividad está en crecimiento, adquiriendo Insitel, compañía dedicada a la ingeniería, las automatizaciones, las instalaciones y el control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VINCI Energies, filial del Grupo VINCI especializada en energía y tecnologías de la información y la comunicación (TIC), ha cerrado un acuerdo el 20 de julio para la adquisición del 100% de las acciones de Ingeniería de Sistemas y Telemando S.A. (Insitel). Fundada en Bilbao, Bizkaia, Insitel se dedica al diseño, ejecución, puesta en marcha y mantenimiento de sistemas de control y telemando. Con una plantilla de 41 personas y una facturación estimada para 2018 en 5 millones de euros, la compañía dispone de una cartera de clientes como E.T.S., la Autoridad Portuaria de Bilbao, el Consorcio de Aguas de Bilbao Bizkaia, Euskotren o el Departamento de Interior del Gobierno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adquisición posibilita el establecimiento de importantes sinergias en sectores donde VINCI Energies tiene una gran implantación, como el energético o el industrial, con la marca Tecuni como principal marca de servicio en el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Laurent Clech, Director General de VINCI Energies España, “esta adquisición permite ampliar la actividad en sistemas de control y automatización de procesos donde se está produciendo una demanda creciente en sectores como el logístico, comercio, industria o gestión de servicios públicos en ciudades. En este sentido, el País Vasco representa un mercado con futuro para las ofertas SMART Grid o SMART Cities donde VINCI Energies cada vez está mejor posicionado.”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VINCI EnergiesEn un mundo en cambio constante, VINCI Energies se centra en las conexiones, el rendimiento, la eficiencia energética y los datos, para acelerar el despliegue de nuevas tecnologías y apoyar dos cambios importantes: la transformación digital y la transición energética. Manteniendo el ritmo de cambio del mercado, VINCI Energies apoya a sus clientes ofreciendo soluciones y servicios cada vez más innovadores, desde diseño hasta implementación, operación y mantenimiento. Con sus fuertes raíces regionales y su estructura organizativa ágil, las 1.600 unidades de negocio de VINCI Energies aumentan la fiabilidad, la seguridad y la eficiencia de las infraestructuras de energía, transporte y comunicación, fábricas y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cifras de VINCI Energies en 2017: 10.800 millones de euros de cifra de negocios // 69.400 colaboradores // 1.600 empresas // 53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www.vinci-energies.com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VINCI Energies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https://www.notasdeprensa.es/vinci-energies-espana-adquiere-insitel_1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Viaje Hardware País Vasco Logística E-Commerce Software 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