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estudia incluir institutos castellano manchegos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que United Way tiene en marcha se desarrollan en Institutos en los que el índice de fracaso escolar es alto, ejecutando proyectos centrados en el trabajo con los alumnos de los últimos cursos de Secundaria en los que es crucial la motivación y la orientación para tomar decisiones sobre su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según datos de Eurostat, la tasa de abandono escolar prematuro en educación en Castilla La Mancha se situó en el 20,5%, lo que supone un descenso del 1,6% respecto al año anterior. 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En la actualidad, la fundación está estudiando trasladar su proyecto a Castilla La Mancha y por ello ha incluido en su lista de centros educativos algunos manchegos.</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los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https://www.notasdeprensa.es/united-way-estudia-incluir-institutos_1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Castilla La Mancha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