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estudia incluir institutos de la Comunidad Valenciana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según datos del INE, la tasa de abandono prematuro en educación en la Comunidad Valenciana se situó en el 20,2%, lo que supone un descenso de 0,1 puntos respecto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formativas.En la actualidad, la fundación está estudiando trasladar su proyecto a la Comunidad Valenciana y por ello ha incluido en su lista de centros educativos algunos de Valencia, Castellón y Alicante.El proyecto en EspañaEn España, United Way desarrolla estos proyectos en Institutos donde la tasa de abandono escolar es alta, contando con el voluntariado corporativo de empresas como Telefónica, everis o John Deere, entre otras.Telefónica ha colaborado a través del proyecto “Youth Empowerment”, dirigido a niños y jóvenes en una situación socioeducativa vulnerable y que ha sido ejecutado por la ONG Design for change.La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STEM.Por su parte, John Deere, con el apoyo de YMCA pretende reducir la tasa de abandono escolar con el proyecto “Youth Challenge” que se desarrolla tanto en el IES MENÉNDEZ PELAYO de Getafe como en las instalaciones de John Deere Ibérica desde el año 2016.Se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https://www.notasdeprensa.es/united-way-estudia-incluir-institutos-de-la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