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casa en la montaña, la inversión cada vez más demandada para una segunda residencia según Solvia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turismo de esquí se encuentra en crecimiento con un 2,9% más que el año anterior, situándose en 5,67 millones de visitantes. Adquirir una vivienda en estas localizaciones puede llegar a suponer una inversión a largo plazo para los futuros compradores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deportes de nieve como el esquí o el snowboard y las actividades de montaña están ganando adeptos, pero se encuentran con la problemática de que la alta ocupación de hoteles y apartamentos son un inconveniente. Es por esta razón que cada vez más compradores de segunda vivienda apuestan por estas localizaciones. Ahora existe más oferta y oportunidad de precios para comprar en áreas cerca de la montaña y con posibilidad de ocio de nieve.</w:t>
            </w:r>
          </w:p>
          <w:p>
            <w:pPr>
              <w:ind w:left="-284" w:right="-427"/>
              <w:jc w:val="both"/>
              <w:rPr>
                <w:rFonts/>
                <w:color w:val="262626" w:themeColor="text1" w:themeTint="D9"/>
              </w:rPr>
            </w:pPr>
            <w:r>
              <w:t>En este sentido, el turismo de esquí se encuentra en crecimiento, según datos de la Asociación Turística de Esquí y de Montaña, la cifra de visitantes en las estaciones de esquí españolas se situó en 5,67 millones de esquiadores, con una media de 26.782 turistas diarios, lo que supone un incremento del 2,9% más respecto al 2018. Por lo que invertir en estas áreas se sitúa como una opción vacacional afianzada y próspera, además de ser una interesante alternativa de negocio. La opción del alquiler en los periodos en los que permanezca vacío el inmueble siempre facilitará que se obtenga un rendimiento óptimo de la inversión.</w:t>
            </w:r>
          </w:p>
          <w:p>
            <w:pPr>
              <w:ind w:left="-284" w:right="-427"/>
              <w:jc w:val="both"/>
              <w:rPr>
                <w:rFonts/>
                <w:color w:val="262626" w:themeColor="text1" w:themeTint="D9"/>
              </w:rPr>
            </w:pPr>
            <w:r>
              <w:t>Ante el interés de la demanda, los precios competitivos y el crecimiento de ocio rural, Solvia ha puesto en marcha la campaña “Viviendas de Montaña”. El objetivo de la firma de servicios inmobiliarios es poner a disposición de los futuros compradores inmuebles ubicados en áreas cercanas a pistas de esquí, donde la evolución al alza de los precios confirma que pueden ser una gran opción para invertir. Por ejemplo, en la comunidad aragonesa, en zonas como Cerler, Formigal o Valdezcaray en La Rioja, el precio ha experimentado un leve crecimiento durante 2019 del 3% interanual.</w:t>
            </w:r>
          </w:p>
          <w:p>
            <w:pPr>
              <w:ind w:left="-284" w:right="-427"/>
              <w:jc w:val="both"/>
              <w:rPr>
                <w:rFonts/>
                <w:color w:val="262626" w:themeColor="text1" w:themeTint="D9"/>
              </w:rPr>
            </w:pPr>
            <w:r>
              <w:t>La cartera de inmuebles ofertados cuenta con precios hasta un 35% más baratos que la media del mercado en esta región. Los datos del Ministerio de Fomento sitúan el precio del metro cuadrado entre 2.028 – 1.230 €/m2. Frente a ello, la cartera incluida en la promoción de Solvia tiene un coste promedio de 789 €/m2, por debajo de ese precio oficial registrado.</w:t>
            </w:r>
          </w:p>
          <w:p>
            <w:pPr>
              <w:ind w:left="-284" w:right="-427"/>
              <w:jc w:val="both"/>
              <w:rPr>
                <w:rFonts/>
                <w:color w:val="262626" w:themeColor="text1" w:themeTint="D9"/>
              </w:rPr>
            </w:pPr>
            <w:r>
              <w:t>En esta oferta se incluye 151 activos, entre los que se encuentran pisos y chalets con un precio medio de 90.000€ y de superficie de 114m2, ubicados principalmente en el norte de Huesca, cercanas a las estaciones de esquí de Candanchú, Formigal o Cerler, Pirineo Aragonés, Pirineo Catalán, Picos de Europa, Sierra de Madrid, Sierra Nevada, y Sierras de Galicia.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https://www.notasdeprensa.es/una-casa-en-la-montana-la-inversion-cada-vez</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Viaje Esquí Turismo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