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ToolsGroup colabora en el 'V Encuentro Alimarket Logística Gran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Encuentro se compartirán diferentes visiones bajo un objetivo común: la optimización de la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será una de las empresas colaboradoras de la quinta edición del V Encuentro Alimarket Logística Gran Consumo. En dicho evento, que se realizará el próximo 25 de mayo, en el Hotel Holiday Inn Madrid Bernabéu, fabricantes, distribuidores y operadores logísticos de diversos sectores del gran consumo compartirán y colaborarán en la optimización de la Supply Chain.</w:t>
            </w:r>
          </w:p>
          <w:p>
            <w:pPr>
              <w:ind w:left="-284" w:right="-427"/>
              <w:jc w:val="both"/>
              <w:rPr>
                <w:rFonts/>
                <w:color w:val="262626" w:themeColor="text1" w:themeTint="D9"/>
              </w:rPr>
            </w:pPr>
            <w:r>
              <w:t>Ante una economía cada vez más interconectada, las ideas para afrontar una mayor complejidad logística provienen de la integración de distintos puntos de vista. En la nueva edición del Encuentro Alimarket Logística Gran Consumo, los ponentes analizarán la cadena de suministro según sectores de actividad, revelando las soluciones de optimización que pueden surgir en común y que los distinguen.</w:t>
            </w:r>
          </w:p>
          <w:p>
            <w:pPr>
              <w:ind w:left="-284" w:right="-427"/>
              <w:jc w:val="both"/>
              <w:rPr>
                <w:rFonts/>
                <w:color w:val="262626" w:themeColor="text1" w:themeTint="D9"/>
              </w:rPr>
            </w:pPr>
            <w:r>
              <w:t>De esta forma, la participación de ponentes de ha dividido en los siguientes apartados:</w:t>
            </w:r>
          </w:p>
          <w:p>
            <w:pPr>
              <w:ind w:left="-284" w:right="-427"/>
              <w:jc w:val="both"/>
              <w:rPr>
                <w:rFonts/>
                <w:color w:val="262626" w:themeColor="text1" w:themeTint="D9"/>
              </w:rPr>
            </w:pPr>
            <w:r>
              <w:t>Industria de Gran Consumo. Líderes que innovan y colaboran</w:t>
            </w:r>
          </w:p>
          <w:p>
            <w:pPr>
              <w:ind w:left="-284" w:right="-427"/>
              <w:jc w:val="both"/>
              <w:rPr>
                <w:rFonts/>
                <w:color w:val="262626" w:themeColor="text1" w:themeTint="D9"/>
              </w:rPr>
            </w:pPr>
            <w:r>
              <w:t>Hostelería y Restauración.  Abordando la modernización logística</w:t>
            </w:r>
          </w:p>
          <w:p>
            <w:pPr>
              <w:ind w:left="-284" w:right="-427"/>
              <w:jc w:val="both"/>
              <w:rPr>
                <w:rFonts/>
                <w:color w:val="262626" w:themeColor="text1" w:themeTint="D9"/>
              </w:rPr>
            </w:pPr>
            <w:r>
              <w:t>A temperatura controlada. Una complejidad que resolver</w:t>
            </w:r>
          </w:p>
          <w:p>
            <w:pPr>
              <w:ind w:left="-284" w:right="-427"/>
              <w:jc w:val="both"/>
              <w:rPr>
                <w:rFonts/>
                <w:color w:val="262626" w:themeColor="text1" w:themeTint="D9"/>
              </w:rPr>
            </w:pPr>
            <w:r>
              <w:t>Retail. Una nueva ecuación para la eficiencia</w:t>
            </w:r>
          </w:p>
          <w:p>
            <w:pPr>
              <w:ind w:left="-284" w:right="-427"/>
              <w:jc w:val="both"/>
              <w:rPr>
                <w:rFonts/>
                <w:color w:val="262626" w:themeColor="text1" w:themeTint="D9"/>
              </w:rPr>
            </w:pPr>
            <w:r>
              <w:t>E-commerce. La logística es la clave</w:t>
            </w:r>
          </w:p>
          <w:p>
            <w:pPr>
              <w:ind w:left="-284" w:right="-427"/>
              <w:jc w:val="both"/>
              <w:rPr>
                <w:rFonts/>
                <w:color w:val="262626" w:themeColor="text1" w:themeTint="D9"/>
              </w:rPr>
            </w:pPr>
            <w:r>
              <w:t>Ricard Pascual, Director Comercial de ToolsGroup, afirma: “Mediante nuestra colaboración en el V Encuentro Alimarket Logística Gran Consumo nos damos a conocer como la empresa cuyas soluciones ayudan a abordar satisfactoriamente una planificación de la Cadena de Suministro caracterizada por la creciente volatilidad de la demanda y la multicanalidad del negocio".</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póngase en contacto con www.toolsgroup.com</w:t>
            </w:r>
          </w:p>
          <w:p>
            <w:pPr>
              <w:ind w:left="-284" w:right="-427"/>
              <w:jc w:val="both"/>
              <w:rPr>
                <w:rFonts/>
                <w:color w:val="262626" w:themeColor="text1" w:themeTint="D9"/>
              </w:rPr>
            </w:pPr>
            <w:r>
              <w:t>Nota: Si desea más información sobre ésta u otras nota de prensa de ToolsGroup, puede ponerse en contacto con Mar Borque  and  Asociados Teléfono: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https://www.notasdeprensa.es/toolsgroup-colabora-en-el-v-encuentro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