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28046 el 11/11/2014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SYGNIS desarrolla su primer kit para amplificación de ADN de genoma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A partir de su tecnología Primpol, Sygnis ya ha desarrollado su primer kit comercial para la amplificación de ADN de genoma completo, cuya salida al mercado está prevista en enero de 2015.
•	La compañía ha iniciado una nueva estrategia basada en el desarrollo y comercialización directa de productos basados en tecnología propia.
•	En el tercer trimestre de 2014, el resultado de explotación de Sygnis mejoró un 20% y los gastos de explotación disminuyeron un 21%. El resultado neto mejoró un 17%.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SYGNIS AG (Frankfurt: LIO1; ISIN: DE000A1RFM03; Prime Standard) ha presentado los resultados financieros del  tercer trimestre, que finalizó el pasado 30 de Septiembre de 2014. En este trimestre, los ingresos alcanzaron un total de 0,3M€ (0,4M€ en 2014), mientras que el resultado operativo experimentó una mejora del 20% en comparación con el mismo período del año anterior (-2,3 M€ en 2014 frente a los -2,8 M€ de 2013). Los gastos operativos se han reducido en 0,7 M€ desde los 3,4M€, hasta los 2,7M€ en 2014. Éstos incluyen una reducción de 0,6 M€ en gastos de I+D (1,2 M€ en 2013)  y una disminución de 0,1 M€ en gastos generales, comerciales y administrativos sumando un total de 1,5M€ frente a los 1,6M€ de 2013. El resultado neto fue de -2,4M€, un 17% mejor que el mismo período anterior.</w:t>
            </w:r>
          </w:p>
          <w:p>
            <w:pPr>
              <w:ind w:left="-284" w:right="-427"/>
              <w:jc w:val="both"/>
              <w:rPr>
                <w:rFonts/>
                <w:color w:val="262626" w:themeColor="text1" w:themeTint="D9"/>
              </w:rPr>
            </w:pPr>
            <w:r>
              <w:t>	A fecha de 30 de septiembre de 2014, la caja y equivalentes de caja totalizaban 0,4M€, mientras que los activos realizables a corto plazo, sumaban un total de 0,7€ frente a los 2,5M€ de 31 de Diciembre de 2013.</w:t>
            </w:r>
          </w:p>
          <w:p>
            <w:pPr>
              <w:ind w:left="-284" w:right="-427"/>
              <w:jc w:val="both"/>
              <w:rPr>
                <w:rFonts/>
                <w:color w:val="262626" w:themeColor="text1" w:themeTint="D9"/>
              </w:rPr>
            </w:pPr>
            <w:r>
              <w:t>	Para evitar los retrasos en las actividades de lanzamiento y comercialización de socios comerciales, Sygnis ha decidido centrarse en la producción y comercialización de productos propios, basados en su tecnología propietaria PrimPol. Esta decisión ha estado motivada por la voluntad de Sygnis de reducir la dependencia de partners estratégicos,  incrementar el control sobre las fuentes de ingresos de sus actividades y aumentar su participación en el valor de mercado de sus productos y tecnologías. Durante el tercer trimestre del año, Sygnis ha cimentando las bases de esta nueva estrategia mediante el desarrollo de sus primeros kits comerciales.</w:t>
            </w:r>
          </w:p>
          <w:p>
            <w:pPr>
              <w:ind w:left="-284" w:right="-427"/>
              <w:jc w:val="both"/>
              <w:rPr>
                <w:rFonts/>
                <w:color w:val="262626" w:themeColor="text1" w:themeTint="D9"/>
              </w:rPr>
            </w:pPr>
            <w:r>
              <w:t>	La primera gama de productos, basada en su tecnología PrimPol, se ha denominado, TruePrime™, y está diseñada para la amplificación de ADN y ARN. El primer kit se ha desarrollado para la amplificación de ADN de genoma completo partiendo de una única celula, con un gran alto grado de aplicabilidad en el mercado de secuenciación de última generación. Actualmente, este kit está siendo evaluado por uno de los líderes industriales del sector y potencial distribuidor con el objetivo de incorporarlo a su  “workflow” de trabajo en sus plataformas de secuenciación. En paralelo, la compañía esta negociando con varios distribuidores por todo el mundo  y podrá adquirirse comercialmente a partir de enero de 2015. </w:t>
            </w:r>
          </w:p>
          <w:p>
            <w:pPr>
              <w:ind w:left="-284" w:right="-427"/>
              <w:jc w:val="both"/>
              <w:rPr>
                <w:rFonts/>
                <w:color w:val="262626" w:themeColor="text1" w:themeTint="D9"/>
              </w:rPr>
            </w:pPr>
            <w:r>
              <w:t>	Adicionalmente, Sygnis está desarrollando otros kits dentro de la misma línea de producto a la par que nuevas gamas para múltiples aplicaciones en amplificación de ADN y ARN, que se irán introduciendo en el mercado durante los ejercicios 2015 y 2016.  Sygnis venderá directamente estos kits y también contará con acuerdos con distribuidores regionales e internacionales. Adicionalmente, Sygnis mantiene conversaciones con compañías internacionales líderes en secuenciación de ultima generación para la comercialización sus productos mediante acuerdos OEM (Original Equipment Agreements).</w:t>
            </w:r>
          </w:p>
          <w:p>
            <w:pPr>
              <w:ind w:left="-284" w:right="-427"/>
              <w:jc w:val="both"/>
              <w:rPr>
                <w:rFonts/>
                <w:color w:val="262626" w:themeColor="text1" w:themeTint="D9"/>
              </w:rPr>
            </w:pPr>
            <w:r>
              <w:t>	De empresa de I+D, a empresa de productos</w:t>
            </w:r>
          </w:p>
          <w:p>
            <w:pPr>
              <w:ind w:left="-284" w:right="-427"/>
              <w:jc w:val="both"/>
              <w:rPr>
                <w:rFonts/>
                <w:color w:val="262626" w:themeColor="text1" w:themeTint="D9"/>
              </w:rPr>
            </w:pPr>
            <w:r>
              <w:t>	“El tercer trimestre del año se ha caracterizado por la implementación de la nueva estrategia en la que Sygnis evoluciona, desde una empresa de I+D, a una empresa de productos diseñados para el creciente mercado de la secuenciación. “Este es un viraje significativo en nuestra estrategia de comercialización y distribución: Mediante el desarrollo de kits propios y su comercialización directa, Sygnis da un paso adelante en el proceso de controlar sus canales de ventas y el flujo de sus ingresos”, subraya Pilar de la Huerta, Consejera Delegada de Sygnis.</w:t>
            </w:r>
          </w:p>
          <w:p>
            <w:pPr>
              <w:ind w:left="-284" w:right="-427"/>
              <w:jc w:val="both"/>
              <w:rPr>
                <w:rFonts/>
                <w:color w:val="262626" w:themeColor="text1" w:themeTint="D9"/>
              </w:rPr>
            </w:pPr>
            <w:r>
              <w:t>	“Estoy muy satisfecha del trabajo que han realizado nuestros investigadores que han completado nuestro primer kit,  dentro de la gama de productos TruePrime™, en apenas seis meses; lo que demuestra el gran compromiso de toda la compañía en el desarrollo y venta de nuevos productos para la amplificación de ADN y ARN”, añade. “Dada la probada superioridad de nuestras tecnologías y su capacidad para dar respuesta a demandas del mercado no satisfechas, estamos convencidos que la comercialización directa de nuestros productos contribuirá a posicionar a Sygnis en una posición estratégica fuerte. En nuestro nuevo rol como empresa de producto, podremos participar de manera activa en el mercado de secuenciación de nueva generación que crece de manera significativa y, de esta forma, maximizar el valor de nuestro portfolio y el valor para nuestros accionistas”, señala Pilar de la Huerta.</w:t>
            </w:r>
          </w:p>
          <w:p>
            <w:pPr>
              <w:ind w:left="-284" w:right="-427"/>
              <w:jc w:val="both"/>
              <w:rPr>
                <w:rFonts/>
                <w:color w:val="262626" w:themeColor="text1" w:themeTint="D9"/>
              </w:rPr>
            </w:pPr>
            <w:r>
              <w:t>	Secuenciación de nueva generación</w:t>
            </w:r>
          </w:p>
          <w:p>
            <w:pPr>
              <w:ind w:left="-284" w:right="-427"/>
              <w:jc w:val="both"/>
              <w:rPr>
                <w:rFonts/>
                <w:color w:val="262626" w:themeColor="text1" w:themeTint="D9"/>
              </w:rPr>
            </w:pPr>
            <w:r>
              <w:t>	Actualmente, el mercado de secuenciación de nueva generación (NGS, en inglés), está considerando como uno de los segmentos de mayor crecimiento en el mercado genómico, con unas tasas de crecimiento anuales esperadas de más del 20%.  Generalmente utilizada en instituciones públicas y académicas, la secuenciación de nueva generación se emplea de manera cada vez más importante en aplicaciones comerciales desarrolladas por laboratorios, empresas farmacéuticas y de uso hospitalario. El mercado estima que esta área tiene un gran potencial y se estima que el volumen total de mercado llegará a los 8.700 millones de euros en 2020, con una progresiva incorporación en aplicaciones de medicina personalizada, diagnóstico, descubrimiento de biomarcadores, agricultura e investigación animal.</w:t>
            </w:r>
          </w:p>
          <w:p>
            <w:pPr>
              <w:ind w:left="-284" w:right="-427"/>
              <w:jc w:val="both"/>
              <w:rPr>
                <w:rFonts/>
                <w:color w:val="262626" w:themeColor="text1" w:themeTint="D9"/>
              </w:rPr>
            </w:pPr>
            <w:r>
              <w:t>	En septiembre de 2014, Sygnis presentó como una de las novedades centrales en la Zing DNA Polymerases Conference 2014, celebrada en Cambridge, Inglaterra, la recientemente caracterizada polimerasa termoestable de PrimPol en la que se basa TruePrime™. Esta conferencia es ampliamente reconocida por la comunidad científica como una de las más importantes en todo el mundo en el campo de las polimerasas.</w:t>
            </w:r>
          </w:p>
          <w:p>
            <w:pPr>
              <w:ind w:left="-284" w:right="-427"/>
              <w:jc w:val="both"/>
              <w:rPr>
                <w:rFonts/>
                <w:color w:val="262626" w:themeColor="text1" w:themeTint="D9"/>
              </w:rPr>
            </w:pPr>
            <w:r>
              <w:t>	Junta de Accionistas</w:t>
            </w:r>
          </w:p>
          <w:p>
            <w:pPr>
              <w:ind w:left="-284" w:right="-427"/>
              <w:jc w:val="both"/>
              <w:rPr>
                <w:rFonts/>
                <w:color w:val="262626" w:themeColor="text1" w:themeTint="D9"/>
              </w:rPr>
            </w:pPr>
            <w:r>
              <w:t>	La Junta General de Accionistas de SYGNIS AG, celebrada el 17 de Julio de 2014 con representación del 83% del capital representado, aprobó por una mayoría abrumadora las propuestas del equipo de directivo de la compañía. Las decisiones acordadas estaban relacionadas con la aprobación de las actuaciones realizadas en el pasado ejercicio fiscal, la elección de nuevos miembros para el máximo órgano de decisión de la compañía (Doña Maria Jesús Sabatés se incorporó a este órgano), y la autorización de nuevo capital.</w:t>
            </w:r>
          </w:p>
          <w:p>
            <w:pPr>
              <w:ind w:left="-284" w:right="-427"/>
              <w:jc w:val="both"/>
              <w:rPr>
                <w:rFonts/>
                <w:color w:val="262626" w:themeColor="text1" w:themeTint="D9"/>
              </w:rPr>
            </w:pPr>
            <w:r>
              <w:t>	Previsiones</w:t>
            </w:r>
          </w:p>
          <w:p>
            <w:pPr>
              <w:ind w:left="-284" w:right="-427"/>
              <w:jc w:val="both"/>
              <w:rPr>
                <w:rFonts/>
                <w:color w:val="262626" w:themeColor="text1" w:themeTint="D9"/>
              </w:rPr>
            </w:pPr>
            <w:r>
              <w:t>	A causa de retrasos en el proceso de comercialización y venta por parte de sus socios, los ingresos para 2014 serán menores de los previstos. Además, el cambio de estrategia centrado en el desarrollo y comercialización directa de nuevos kits, tendrán un impacto en los ingresos derivados de potenciales acuerdos de licencia en exclusiva, que habían sido previstos a principio de año. Como consecuencia de lo anterior, la compañía estima que los ingresos para 2014 se situarán el rango de 0,5 a 0,7 M€.</w:t>
            </w:r>
          </w:p>
          <w:p>
            <w:pPr>
              <w:ind w:left="-284" w:right="-427"/>
              <w:jc w:val="both"/>
              <w:rPr>
                <w:rFonts/>
                <w:color w:val="262626" w:themeColor="text1" w:themeTint="D9"/>
              </w:rPr>
            </w:pPr>
            <w:r>
              <w:t>	Los gastos en cambio se mantendrán en línea con los presentados en los primeros seis meses del año, lo que contribuirá a que a final de año se consiga una significativa mejora del resultado bruto con respecto al ejercicio 2013.</w:t>
            </w:r>
          </w:p>
          <w:p>
            <w:pPr>
              <w:ind w:left="-284" w:right="-427"/>
              <w:jc w:val="both"/>
              <w:rPr>
                <w:rFonts/>
                <w:color w:val="262626" w:themeColor="text1" w:themeTint="D9"/>
              </w:rPr>
            </w:pPr>
            <w:r>
              <w:t>	Los recursos disponibles a 30 de septiembre de 2014 y la evolución esperada por la compañía de la liquidez y efectivos de caja aseguran recursos suficientes para el desarrollo de su actividad durante todo el ejercicio 2014.</w:t>
            </w:r>
          </w:p>
          <w:p>
            <w:pPr>
              <w:ind w:left="-284" w:right="-427"/>
              <w:jc w:val="both"/>
              <w:rPr>
                <w:rFonts/>
                <w:color w:val="262626" w:themeColor="text1" w:themeTint="D9"/>
              </w:rPr>
            </w:pPr>
            <w:r>
              <w:t>	Cifras del ejercicio fiscal 2014 de acuerdo con la normativa IFRS y magnitudes comparables</w:t>
            </w:r>
          </w:p>
          <w:p>
            <w:pPr>
              <w:ind w:left="-284" w:right="-427"/>
              <w:jc w:val="both"/>
              <w:rPr>
                <w:rFonts/>
                <w:color w:val="262626" w:themeColor="text1" w:themeTint="D9"/>
              </w:rPr>
            </w:pPr>
            <w:r>
              <w:t>	El informe de los resultados del tercer trimestre de 2014, finalizado el 30 de septiembre de 2014, está disponible en www.sygnis.com</w:t>
            </w:r>
          </w:p>
          <w:p>
            <w:pPr>
              <w:ind w:left="-284" w:right="-427"/>
              <w:jc w:val="both"/>
              <w:rPr>
                <w:rFonts/>
                <w:color w:val="262626" w:themeColor="text1" w:themeTint="D9"/>
              </w:rPr>
            </w:pPr>
            <w:r>
              <w:t>	# # # Cláusula de exención de responsabilidad:</w:t>
            </w:r>
          </w:p>
          <w:p>
            <w:pPr>
              <w:ind w:left="-284" w:right="-427"/>
              <w:jc w:val="both"/>
              <w:rPr>
                <w:rFonts/>
                <w:color w:val="262626" w:themeColor="text1" w:themeTint="D9"/>
              </w:rPr>
            </w:pPr>
            <w:r>
              <w:t>	Algunas de las afirmaciones incluidas en el presente comunicado de prensa no guardan relación con resultados financieros probados ni con otros datos históricos; son sólo previsiones de futuro, es decir, no revisten carácter definitivo. Dichas afirmaciones constituyen esencialmente predicciones de resultados, tendencias, metas o planes futuros y, por lo tanto, no se deben considerar como garantías absolutas, puesto que, dada su naturaleza, están sujetas a riesgos conocidos y desconocidos así como a circunstancias imprevistas, y pueden estar influidas por otros factores que conlleven una variación en los resultados, planes y metas actuales de SYGNIS AG, que se pueden desviar considerablemente de las conclusiones alcanzadas o las predicciones implícitas en dichas afirmaciones. SYGNIS no se compromete a actualizar o revisar públicamente las afirmaciones mencionadas en caso de que surja nueva información o se obtengan nuevos resultados, ni por ninguna otra causa.###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Concepción Roussel / Sandra Til</w:t>
      </w:r>
    </w:p>
    <w:p w:rsidR="00C31F72" w:rsidRDefault="00C31F72" w:rsidP="00AB63FE">
      <w:pPr>
        <w:pStyle w:val="Sinespaciado"/>
        <w:spacing w:line="276" w:lineRule="auto"/>
        <w:ind w:left="-284"/>
        <w:rPr>
          <w:rFonts w:ascii="Arial" w:hAnsi="Arial" w:cs="Arial"/>
        </w:rPr>
      </w:pPr>
      <w:r>
        <w:rPr>
          <w:rFonts w:ascii="Arial" w:hAnsi="Arial" w:cs="Arial"/>
        </w:rPr>
        <w:t>SYGNIS Gabinete de Prensa</w:t>
      </w:r>
    </w:p>
    <w:p w:rsidR="00AB63FE" w:rsidRDefault="00C31F72" w:rsidP="00AB63FE">
      <w:pPr>
        <w:pStyle w:val="Sinespaciado"/>
        <w:spacing w:line="276" w:lineRule="auto"/>
        <w:ind w:left="-284"/>
        <w:rPr>
          <w:rFonts w:ascii="Arial" w:hAnsi="Arial" w:cs="Arial"/>
        </w:rPr>
      </w:pPr>
      <w:r>
        <w:rPr>
          <w:rFonts w:ascii="Arial" w:hAnsi="Arial" w:cs="Arial"/>
        </w:rPr>
        <w:t>654410111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https://www.notasdeprensa.es/sygnis-desarrolla-su-primer-kit-para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Finanzas Innovación Tecnológica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