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SERES: las empresas canarias en la novena posición en emisión de facturas electrónicas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Canarias se sitúa en el medio de la tabla en el ranking de uso de factura electrónica en 2018 en volumen de facturas electrónicas intercambiadas. En cuanto al volumen de empresas que facturan electrónicamente se sitúa en el decimotercer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Canarias se ha situado en 2018 en la novena posición en emisión de facturas electrónicas con un 2,07 % del total de los documentos emitidos a lo largo del año. Según el “Estudio sobre el uso de Factura Electrónica” realizado por SERES, empresa pionera y especialista desde hace 30 años en soluciones de intercambio electrónico seguro de documentos.Por volumen de empresas que emiten facturas electrónicas, Canarias representó en 2018 un 2,79% del total; convirtiéndola en la decimotercera Comunidad en el ranking por empresas. En el apartado de volumen de facturas recibidas, Canarias se sitúa en la octava posición, con el 3,76% en 2018, subiendo un poco con respecto al 3,71% de 2017. Al analizar el volumen de empresas receptoras se sitúa en la duodécima posición con un 2,63 % frente al 2,22 % registrado en 2017.Por provinciasEn emisión de facturas, la provincia más activa fue Las Palmas (el 1,06% del total nacional) seguida de Santa Cruz de Tenerife (1,01%). En volumen de empresas emisoras, las de Santa Cruz de Tenerife representaron el 1,65 % del total, seguidas por las de Las Palmas (1,14%).</w:t>
            </w:r>
          </w:p>
          <w:p>
            <w:pPr>
              <w:ind w:left="-284" w:right="-427"/>
              <w:jc w:val="both"/>
              <w:rPr>
                <w:rFonts/>
                <w:color w:val="262626" w:themeColor="text1" w:themeTint="D9"/>
              </w:rPr>
            </w:pPr>
            <w:r>
              <w:t>Por su parte, por volumen de factura recibidas, Las Palmas encabeza el ranking con el 2,85% del total nacional, seguida de Santa Cruz de Tenerife (0,91%).</w:t>
            </w:r>
          </w:p>
          <w:p>
            <w:pPr>
              <w:ind w:left="-284" w:right="-427"/>
              <w:jc w:val="both"/>
              <w:rPr>
                <w:rFonts/>
                <w:color w:val="262626" w:themeColor="text1" w:themeTint="D9"/>
              </w:rPr>
            </w:pPr>
            <w:r>
              <w:t>Finalmente, por volumen de empresas que recibieron facturas electrónicas, la primera posición corresponde a Las Palmas con un 1,56% seguida de Santa Cruz de Tenerife (1,07%).Total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papel.Por tamaño de negocioPor tamaño, la mediana empresa representa el 45,48% de las empresas emisoras y el 37,57% de las receptoras, la pequeña empresa reúne al 23,8% de las emisoras y el 26,17% de las receptoras, la gran empresa supone el 22,48% de las emisoras y el 24,48% de las receptoras y, finalmente, las micro empresas representa el 8,24% de la emisión y el 11,78% de la recepción.La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para que vean en la factura electrónica un gran aliado para cumplir con la obligación. Algo asimilar ocurrirá en Canarias, en 2019, tras la implantación de SII a principios de enero de este año.Por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euros.Resultan relevantes, sobre todo de cara al futuro, el éxito internacional de la factura electrónica y los impulsos dados por la Unión Europea para normalizar su uso entre los países miembros. Un impulso a que ha permitido el desarrollo, a lo largo de 2018, de un nuevo formato común de factura electrónica cuyo uso es obligatorio en las contrataciones públicas europeas desde el 18 de abril de 2019.“En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Primario”.2019, nuevo punto de inflexiónA pesar de la contracción del crecimiento económico en la zona euro, todo parece indicar que 2019 será un año muy importante para la universalización de la factura electrónica en la UE. El nuevo estándar europeo de factura electrónica, que es obligatorio en las relaciones B2G desde el pasado 18 de abril, y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2018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 https://es.groupseres.com/estudios-mercado</w:t>
            </w:r>
          </w:p>
          <w:p>
            <w:pPr>
              <w:ind w:left="-284" w:right="-427"/>
              <w:jc w:val="both"/>
              <w:rPr>
                <w:rFonts/>
                <w:color w:val="262626" w:themeColor="text1" w:themeTint="D9"/>
              </w:rPr>
            </w:pPr>
            <w:r>
              <w:t>Análisis de la Ley 25/2013: https://es.groupseres.com/facturae/obligatoriedad-proveedor-aappLey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https://www.notasdeprensa.es/seres-las-empresas-canarias-en-la-novena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Canarias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