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la factura electrónica sigue siendo una asignatura pendiente para las empresas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SERES queda mucho por hacer en este sector, cuyas cifras son paradójicas, porque se trata de una actividad muy importante para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factura electrónica en el sector de la salud en España sigue siendo una asignatura pendiente, según el Estudio sobre el uso de la Factura Electrónica en España 2017-2018, elaborado por SERES. Según este informe, el sector de salud representa el 0.36% de las empresas emisoras de facturas electrónicas españolas y también el 1.35% de las receptoras.</w:t>
            </w:r>
          </w:p>
          <w:p>
            <w:pPr>
              <w:ind w:left="-284" w:right="-427"/>
              <w:jc w:val="both"/>
              <w:rPr>
                <w:rFonts/>
                <w:color w:val="262626" w:themeColor="text1" w:themeTint="D9"/>
              </w:rPr>
            </w:pPr>
            <w:r>
              <w:t>Por volumen de facturas, esta participación representa menos del 0,1% del total de las facturas emitidas y el 0.13% de las recibidas. “Es evidente, que queda mucho por hacer en este sector. Estas cifras son paradójicas, porque se trata de un sector de actividad muy importante para todo el territorio español”, explica Alberto Redondo, director de Marketing y Comuniación de SERES.</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w:t>
            </w:r>
          </w:p>
          <w:p>
            <w:pPr>
              <w:ind w:left="-284" w:right="-427"/>
              <w:jc w:val="both"/>
              <w:rPr>
                <w:rFonts/>
                <w:color w:val="262626" w:themeColor="text1" w:themeTint="D9"/>
              </w:rPr>
            </w:pPr>
            <w:r>
              <w:t>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papel.uso de papel.</w:t>
            </w:r>
          </w:p>
          <w:p>
            <w:pPr>
              <w:ind w:left="-284" w:right="-427"/>
              <w:jc w:val="both"/>
              <w:rPr>
                <w:rFonts/>
                <w:color w:val="262626" w:themeColor="text1" w:themeTint="D9"/>
              </w:rPr>
            </w:pPr>
            <w:r>
              <w:t>Quién usa la factura electrónica </w:t>
            </w:r>
          </w:p>
          <w:p>
            <w:pPr>
              <w:ind w:left="-284" w:right="-427"/>
              <w:jc w:val="both"/>
              <w:rPr>
                <w:rFonts/>
                <w:color w:val="262626" w:themeColor="text1" w:themeTint="D9"/>
              </w:rPr>
            </w:pPr>
            <w:r>
              <w:t>Por Comunidades AutónomasSegún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w:t>
            </w:r>
          </w:p>
          <w:p>
            <w:pPr>
              <w:ind w:left="-284" w:right="-427"/>
              <w:jc w:val="both"/>
              <w:rPr>
                <w:rFonts/>
                <w:color w:val="262626" w:themeColor="text1" w:themeTint="D9"/>
              </w:rPr>
            </w:pPr>
            <w:r>
              <w:t>Por su parte, en recepción, Madrid, Cataluña y Andalucía encabezan el ranking de empresas; seguidas de Castilla y León, Valencia y País Vaco. En cuanto al número de documentos recibidos, Madrid, Cataluña y Andalucía siguen liderando el ranking; seguidas de Galicia, Valencia y Cantabria.</w:t>
            </w:r>
          </w:p>
          <w:p>
            <w:pPr>
              <w:ind w:left="-284" w:right="-427"/>
              <w:jc w:val="both"/>
              <w:rPr>
                <w:rFonts/>
                <w:color w:val="262626" w:themeColor="text1" w:themeTint="D9"/>
              </w:rPr>
            </w:pPr>
            <w:r>
              <w:t>Por sectoresPor sectores, es el sector Servicios el que sigue liderando, con un 55,92% en emisión y un 58,45% en recepción, el mercado. Le sigue la Industria, con el 41,80% de empresas en emisión y el 36,68% en recepción, el sector Primario, con el 3,06% de empresas emisoras y el 3,21% de empresa receptoras y otras actividades con el 0,71% en emisión y el 1,66% en recepción.</w:t>
            </w:r>
          </w:p>
          <w:p>
            <w:pPr>
              <w:ind w:left="-284" w:right="-427"/>
              <w:jc w:val="both"/>
              <w:rPr>
                <w:rFonts/>
                <w:color w:val="262626" w:themeColor="text1" w:themeTint="D9"/>
              </w:rPr>
            </w:pPr>
            <w:r>
              <w:t>Por tamaño de empresaPor tipo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w:t>
            </w:r>
          </w:p>
          <w:p>
            <w:pPr>
              <w:ind w:left="-284" w:right="-427"/>
              <w:jc w:val="both"/>
              <w:rPr>
                <w:rFonts/>
                <w:color w:val="262626" w:themeColor="text1" w:themeTint="D9"/>
              </w:rPr>
            </w:pPr>
            <w:r>
              <w:t>“En este sentido -indica Alberto Redondo-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eneros de este año.</w:t>
            </w:r>
          </w:p>
          <w:p>
            <w:pPr>
              <w:ind w:left="-284" w:right="-427"/>
              <w:jc w:val="both"/>
              <w:rPr>
                <w:rFonts/>
                <w:color w:val="262626" w:themeColor="text1" w:themeTint="D9"/>
              </w:rPr>
            </w:pPr>
            <w:r>
              <w:t>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w:t>
            </w:r>
          </w:p>
          <w:p>
            <w:pPr>
              <w:ind w:left="-284" w:right="-427"/>
              <w:jc w:val="both"/>
              <w:rPr>
                <w:rFonts/>
                <w:color w:val="262626" w:themeColor="text1" w:themeTint="D9"/>
              </w:rPr>
            </w:pPr>
            <w:r>
              <w:t>Resultan relevante, sobre todo de cara al futuro, el éxito internacional de la factura electrónica y los impulsos dados por la Unión Europea por normalizar su uso entre los países miembros. Un impulso a que ha permitido el desarrollo, a lo largo de 2018, de un nuevo formato común de factura electrónica cuyo uso que será de obligatorio uso en las contrataciones públicas europeas a partir del 18 de abril de 2019.</w:t>
            </w:r>
          </w:p>
          <w:p>
            <w:pPr>
              <w:ind w:left="-284" w:right="-427"/>
              <w:jc w:val="both"/>
              <w:rPr>
                <w:rFonts/>
                <w:color w:val="262626" w:themeColor="text1" w:themeTint="D9"/>
              </w:rPr>
            </w:pPr>
            <w:r>
              <w:t>“En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que será obligatorio en las relaciones B2G a partir del próximo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2017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 es.groupseres.com/estudios-de-mercado</w:t>
            </w:r>
          </w:p>
          <w:p>
            <w:pPr>
              <w:ind w:left="-284" w:right="-427"/>
              <w:jc w:val="both"/>
              <w:rPr>
                <w:rFonts/>
                <w:color w:val="262626" w:themeColor="text1" w:themeTint="D9"/>
              </w:rPr>
            </w:pPr>
            <w:r>
              <w:t>Análisis de la Ley 25/2013https://es.groupseres.com/facturae/obligatoriedad-proveedor-aapp</w:t>
            </w:r>
          </w:p>
          <w:p>
            <w:pPr>
              <w:ind w:left="-284" w:right="-427"/>
              <w:jc w:val="both"/>
              <w:rPr>
                <w:rFonts/>
                <w:color w:val="262626" w:themeColor="text1" w:themeTint="D9"/>
              </w:rPr>
            </w:pPr>
            <w:r>
              <w:t>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https://es.groupseres.com/facturaelectronica/normativa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https://www.notasdeprensa.es/seres-la-factura-electronica-sigue-siendo-una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Veterinaria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