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La factura electrónica no termina de afianzarse en el sector turístico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SERES, queda mucho por hacer en este sector, cuyas cifras de facturación electrónica son muy bajas aun siendo un mercado que según datos de 2018  aportó un 7,2% al PIB nacional y contó con una facturación de 129.450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factura electrónica en el sector HORECA español sigue siendo muy reducido a pesar de que en nuestro país aportó un 7,2% al PIB nacional, alcanzando un volumen de facturación de 129.450 millones de euros según datos de 2018.</w:t>
            </w:r>
          </w:p>
          <w:p>
            <w:pPr>
              <w:ind w:left="-284" w:right="-427"/>
              <w:jc w:val="both"/>
              <w:rPr>
                <w:rFonts/>
                <w:color w:val="262626" w:themeColor="text1" w:themeTint="D9"/>
              </w:rPr>
            </w:pPr>
            <w:r>
              <w:t>Según el Estudio sobre el uso de la Factura Electrónica en España 2017-2018, elaborado por SERES, las empresas del sector HORECA emitieron el 0,44% de las facturas electrónicas y la representación de las recibidas rozan el 1,55% sobre un total de 181.884.086 documentos emitidos y recibidos.</w:t>
            </w:r>
          </w:p>
          <w:p>
            <w:pPr>
              <w:ind w:left="-284" w:right="-427"/>
              <w:jc w:val="both"/>
              <w:rPr>
                <w:rFonts/>
                <w:color w:val="262626" w:themeColor="text1" w:themeTint="D9"/>
              </w:rPr>
            </w:pPr>
            <w:r>
              <w:t>En el periodo analizado en el estudio, las empresas del sector HORECA emisoras de las facturas electrónicas representaron el 0,85% del total y las receptoras el 2,29%.</w:t>
            </w:r>
          </w:p>
          <w:p>
            <w:pPr>
              <w:ind w:left="-284" w:right="-427"/>
              <w:jc w:val="both"/>
              <w:rPr>
                <w:rFonts/>
                <w:color w:val="262626" w:themeColor="text1" w:themeTint="D9"/>
              </w:rPr>
            </w:pPr>
            <w:r>
              <w:t>“Aun siendo uno de los sectores claves de la economía española, en cuanto al nivel de facturación electrónica todavía queda por hacer mucho pues están a niveles muy bajos o casi inexistentes”, explica Alberto Redondo, director de Marketing y Comunicación de SERES.</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w:t>
            </w:r>
          </w:p>
          <w:p>
            <w:pPr>
              <w:ind w:left="-284" w:right="-427"/>
              <w:jc w:val="both"/>
              <w:rPr>
                <w:rFonts/>
                <w:color w:val="262626" w:themeColor="text1" w:themeTint="D9"/>
              </w:rPr>
            </w:pPr>
            <w:r>
              <w:t>Quién usa la factura electrónica </w:t>
            </w:r>
          </w:p>
          <w:p>
            <w:pPr>
              <w:ind w:left="-284" w:right="-427"/>
              <w:jc w:val="both"/>
              <w:rPr>
                <w:rFonts/>
                <w:color w:val="262626" w:themeColor="text1" w:themeTint="D9"/>
              </w:rPr>
            </w:pPr>
            <w:r>
              <w:t>Por Comunidades AutónomasSegún el número de documentos, tanto en emisión como en recepción, Madrid, Cataluña y Andalucía lideran el ranking; seguidas de las Comunidades del País Vasco y Valencia. En cuanto al número de empresas que facturan electrónicamente por Comunidad Autónoma, 2018 fue un año de cambios. Así, Madrid, Valencia y Andalucía lideran el ranking de empresas que emiten facturas; seguidas de un segundo grupo de formado por Cataluña, Castilla y León y País Vasco.</w:t>
            </w:r>
          </w:p>
          <w:p>
            <w:pPr>
              <w:ind w:left="-284" w:right="-427"/>
              <w:jc w:val="both"/>
              <w:rPr>
                <w:rFonts/>
                <w:color w:val="262626" w:themeColor="text1" w:themeTint="D9"/>
              </w:rPr>
            </w:pPr>
            <w:r>
              <w:t>Por su parte, en recepción, Madrid, Cataluña y Andalucía encabezan el ranking de empresas; seguidas de Castilla y León, Valencia y País Vasco. En cuanto al número de documentos recibidos, Madrid, Cataluña y Andalucía siguen liderando el ranking; seguidas de Galicia, Valencia y Cantabria.</w:t>
            </w:r>
          </w:p>
          <w:p>
            <w:pPr>
              <w:ind w:left="-284" w:right="-427"/>
              <w:jc w:val="both"/>
              <w:rPr>
                <w:rFonts/>
                <w:color w:val="262626" w:themeColor="text1" w:themeTint="D9"/>
              </w:rPr>
            </w:pPr>
            <w:r>
              <w:t>Por sectoresPor sectores, es el sector Servicios el que sigue liderando, con un 55,92% en emisión y un 58,45% en recepción, el mercado. Le sigue la Industria, con el 41,80% de empresas en emisión y el 36,68% en recepción, el sector Primario, con el 3,06% de empresas emisoras y el 3,21% de empresa receptoras y otras actividades con el 0,71% en emisión y el 1,66% en recepción.</w:t>
            </w:r>
          </w:p>
          <w:p>
            <w:pPr>
              <w:ind w:left="-284" w:right="-427"/>
              <w:jc w:val="both"/>
              <w:rPr>
                <w:rFonts/>
                <w:color w:val="262626" w:themeColor="text1" w:themeTint="D9"/>
              </w:rPr>
            </w:pPr>
            <w:r>
              <w:t>Por tamaño de empresaPor tipo de empresas, son las de mediano tamaño las que emiten más facturas, el 45,48%, seguidas por las grandes empresas, el 22,48, las pequeñas, el 23,80% y las micro empresas, con el 8,24%. En recepción de facturas, las que más reciben son las medianas empresas con el 37,57% de las facturas, seguidas por las pequeñas empresas con el 26,17%, las grandes con el 24,48% y las microempresas, con el 11,78%.</w:t>
            </w:r>
          </w:p>
          <w:p>
            <w:pPr>
              <w:ind w:left="-284" w:right="-427"/>
              <w:jc w:val="both"/>
              <w:rPr>
                <w:rFonts/>
                <w:color w:val="262626" w:themeColor="text1" w:themeTint="D9"/>
              </w:rPr>
            </w:pPr>
            <w:r>
              <w:t>“En este sentido -indica Alberto Redondo- la tendencia continúa en la emisión de e-facturas, destacando este año el aumento de la participación tanto de las medianas empresas como de las microempresas; siendo la variación del 4,10% en el primer caso y del 0,83% en el segundo. En recepción, las grandes y medianas empresas son las principales impulsoras de la e-factura, suponiendo más del 62% de las empresas que reciben; les siguen las pymes y microempresas, que representa casi un 38%”.</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eneros de este año.</w:t>
            </w:r>
          </w:p>
          <w:p>
            <w:pPr>
              <w:ind w:left="-284" w:right="-427"/>
              <w:jc w:val="both"/>
              <w:rPr>
                <w:rFonts/>
                <w:color w:val="262626" w:themeColor="text1" w:themeTint="D9"/>
              </w:rPr>
            </w:pPr>
            <w:r>
              <w:t>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 relevante, sobre todo de cara al futuro, el éxito internacional de la factura electrónica y los impulsos dados por la Unión Europea para normalizar su uso entre los países miembros. Un impulso que ha permitido el desarrollo, a lo largo de 2018, de un nuevo formato común de factura electrónica, que es oblogatorio en las contrataciones públicas europeas desde el 18 de abril de 2019.</w:t>
            </w:r>
          </w:p>
          <w:p>
            <w:pPr>
              <w:ind w:left="-284" w:right="-427"/>
              <w:jc w:val="both"/>
              <w:rPr>
                <w:rFonts/>
                <w:color w:val="262626" w:themeColor="text1" w:themeTint="D9"/>
              </w:rPr>
            </w:pPr>
            <w:r>
              <w:t>“En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es obligatorio en las relaciones B2G desde el 18 de abril de 2019, para todos los Estados Miembros de la Unión Europea.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2017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 https://es.groupseres.com/estudios-mercado</w:t>
            </w:r>
          </w:p>
          <w:p>
            <w:pPr>
              <w:ind w:left="-284" w:right="-427"/>
              <w:jc w:val="both"/>
              <w:rPr>
                <w:rFonts/>
                <w:color w:val="262626" w:themeColor="text1" w:themeTint="D9"/>
              </w:rPr>
            </w:pPr>
            <w:r>
              <w:t>Análisis de la Ley 25/2013: https://es.groupseres.com/facturae/obligatoriedad-proveedor-aapp</w:t>
            </w:r>
          </w:p>
          <w:p>
            <w:pPr>
              <w:ind w:left="-284" w:right="-427"/>
              <w:jc w:val="both"/>
              <w:rPr>
                <w:rFonts/>
                <w:color w:val="262626" w:themeColor="text1" w:themeTint="D9"/>
              </w:rPr>
            </w:pPr>
            <w:r>
              <w:t>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https://www.notasdeprensa.es/seres-la-factura-electronica-no-termina-de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Gastronomía Viaje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