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anuncia un contrato de software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SENER ha cerrado un acuerdo con la empresa BAE System PLC, con sede en el Reino Unido, para la integración entre el Sistema de CAD/CAM FORAN desarrollado por SENER y Windchill, herramienta de Gestión de Ciclo de Vida (PLM en sus siglas en inglés) de la empresa PTC, para ser utilizado en el diseño y producción del programa de buques Type 26.</w:t>
            </w:r>
          </w:p>
          <w:p>
            <w:pPr>
              <w:ind w:left="-284" w:right="-427"/>
              <w:jc w:val="both"/>
              <w:rPr>
                <w:rFonts/>
                <w:color w:val="262626" w:themeColor="text1" w:themeTint="D9"/>
              </w:rPr>
            </w:pPr>
            <w:r>
              <w:t>De acuerdo con el contrato, la integración FORAN- Windchill (FWI) será implementada en BAE Systems Naval Ships en Scotstoun y Portsmouth.</w:t>
            </w:r>
          </w:p>
          <w:p>
            <w:pPr>
              <w:ind w:left="-284" w:right="-427"/>
              <w:jc w:val="both"/>
              <w:rPr>
                <w:rFonts/>
                <w:color w:val="262626" w:themeColor="text1" w:themeTint="D9"/>
              </w:rPr>
            </w:pPr>
            <w:r>
              <w:t>FWI se está llevando a cabo en diferentes fases. Los principales hitos incluyen:</w:t>
            </w:r>
          </w:p>
          <w:p>
            <w:pPr>
              <w:ind w:left="-284" w:right="-427"/>
              <w:jc w:val="both"/>
              <w:rPr>
                <w:rFonts/>
                <w:color w:val="262626" w:themeColor="text1" w:themeTint="D9"/>
              </w:rPr>
            </w:pPr>
            <w:r>
              <w:t>- Publicación y sincronización de los elementos y componentes del Type 26: julio 2015</w:t>
            </w:r>
          </w:p>
          <w:p>
            <w:pPr>
              <w:ind w:left="-284" w:right="-427"/>
              <w:jc w:val="both"/>
              <w:rPr>
                <w:rFonts/>
                <w:color w:val="262626" w:themeColor="text1" w:themeTint="D9"/>
              </w:rPr>
            </w:pPr>
            <w:r>
              <w:t>- Control de cambios: diciembre 2015</w:t>
            </w:r>
          </w:p>
          <w:p>
            <w:pPr>
              <w:ind w:left="-284" w:right="-427"/>
              <w:jc w:val="both"/>
              <w:rPr>
                <w:rFonts/>
                <w:color w:val="262626" w:themeColor="text1" w:themeTint="D9"/>
              </w:rPr>
            </w:pPr>
            <w:r>
              <w:t>- Control de configuración: diciembre 2016</w:t>
            </w:r>
          </w:p>
          <w:p>
            <w:pPr>
              <w:ind w:left="-284" w:right="-427"/>
              <w:jc w:val="both"/>
              <w:rPr>
                <w:rFonts/>
                <w:color w:val="262626" w:themeColor="text1" w:themeTint="D9"/>
              </w:rPr>
            </w:pPr>
            <w:r>
              <w:t>BAE Systems Naval Ships utilizará la integración FWI como una de las actividades de mejora clave del programa Type 26 con el principal objetivo de incrementar la calidad de las listas de materiales (BoM) mediante la integración entre aplicaciones y procesos del CAD y del PLM.</w:t>
            </w:r>
          </w:p>
          <w:p>
            <w:pPr>
              <w:ind w:left="-284" w:right="-427"/>
              <w:jc w:val="both"/>
              <w:rPr>
                <w:rFonts/>
                <w:color w:val="262626" w:themeColor="text1" w:themeTint="D9"/>
              </w:rPr>
            </w:pPr>
            <w:r>
              <w:t>Como resultado de este contrato se han instalado 250 licencias de FWI. Los servicios que proporciona SENER incluyen el entrenamiento, servicios de adaptación y asistencia técnica in-situ.</w:t>
            </w:r>
          </w:p>
          <w:p>
            <w:pPr>
              <w:ind w:left="-284" w:right="-427"/>
              <w:jc w:val="both"/>
              <w:rPr>
                <w:rFonts/>
                <w:color w:val="262626" w:themeColor="text1" w:themeTint="D9"/>
              </w:rPr>
            </w:pPr>
            <w:r>
              <w:t>Rafael de Góngora, Director General de SENER Naval, comentó: “Este es un logro significativo para SENER y es una prueba del esfuerzo continuo en la mejora de la integración entre FORAN y herramientas PLM, un desarrollo estratégico para la construcción naval militar”.</w:t>
            </w:r>
          </w:p>
          <w:p>
            <w:pPr>
              <w:ind w:left="-284" w:right="-427"/>
              <w:jc w:val="both"/>
              <w:rPr>
                <w:rFonts/>
                <w:color w:val="262626" w:themeColor="text1" w:themeTint="D9"/>
              </w:rPr>
            </w:pPr>
            <w:r>
              <w:t>Thomas McLaughlin, Responsable de Ingeniería (iPLM) de BAE Naval Ships a su vez añadió: “Uno de los factores clave de la integración es la estrategia de software COTS (Commercial off the Shelf) así como la estrecha colaboración entre BAE, PTC y SENER. Con esta nueva capacidad, seremos capaces de incrementar notablemente la alineación, control y calidad de las listas de materiales (BoM) a través de las aplicaciones de FORAN y Windchill”.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https://www.notasdeprensa.es/sener-anuncia-un-contrato-de-software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