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UPC School (c/Badajoz 73, Barcelona) el 20/12/2013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Segunda edición del concurso de videojuegos Three Headed Monkey Awards. Social Point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aquellos aficionados al sector de los videojuegos,  la animación o el arte digital tienen la oportunidad de participar en el concurso Three Headed Monkey Awards.Social Point, un certamen para premiar los mejores proyectos amateurs en el ámbito de los videojuegos. Se podrá participar individualmente o en grupos de un máximo de seis personas, para optar a un total de tres categorías. Hay 6.000€ en premios y el plazo para la presentación de propuestas finaliza el día 26 de febrero de 2014.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 concurso se podrán presentar los videojuegos finalizados que contengan una trama o una parte de ella completada, por ejemplo a partir de dos niveles o un nivel y un encuentro con un boss. Los participantes deberán presentar, a través del formulario en la web http://upcvideogames.com/ un video que recoja las partes principales del videojuego, además de un documento explicativo con la información básica del videojuego.</w:t>
            </w:r>
          </w:p>
          <w:p>
            <w:pPr>
              <w:ind w:left="-284" w:right="-427"/>
              <w:jc w:val="both"/>
              <w:rPr>
                <w:rFonts/>
                <w:color w:val="262626" w:themeColor="text1" w:themeTint="D9"/>
              </w:rPr>
            </w:pPr>
            <w:r>
              <w:t>	El concurso se inicia el 18 de diciembre de 2013 y las propuestas se podrán presentar hasta el día 26 de febrero de 2014. Tras la fase de participaciones, se abrirá la fase de votación del público y un jurado profesional elegirá, entre los proyectos más votados, quién obtiene el Premio UPC y el Premio al Mejor Videojuego. La Mención del Público será directamente para aquel proyecto que obtenga más votos por parte del público.</w:t>
            </w:r>
          </w:p>
          <w:p>
            <w:pPr>
              <w:ind w:left="-284" w:right="-427"/>
              <w:jc w:val="both"/>
              <w:rPr>
                <w:rFonts/>
                <w:color w:val="262626" w:themeColor="text1" w:themeTint="D9"/>
              </w:rPr>
            </w:pPr>
            <w:r>
              <w:t>	Los premios Three Headed Monkey Awards. Social Point</w:t>
            </w:r>
          </w:p>
          <w:p>
            <w:pPr>
              <w:ind w:left="-284" w:right="-427"/>
              <w:jc w:val="both"/>
              <w:rPr>
                <w:rFonts/>
                <w:color w:val="262626" w:themeColor="text1" w:themeTint="D9"/>
              </w:rPr>
            </w:pPr>
            <w:r>
              <w:t>	El concurso Three Headed Monkey Awards. Social Point se divide en 3 categorías independientes. El Premio al Mejor Videojuego, elegido por un Jurado, abierto a todo tipo de público y premiado con 3.000€; la Mención del Público, que premia el videojuego más votado por el público, con una dotación de 1.500€ y, por último, el Premio UPC, que se dirige a todos aquellos grupos de los cuales, como mínimo, la mitad sean o hayan sido alumnos de la UPC, la Fundació UPC o la UPC School. En el caso del Premio UPC la cuantía es de 1.500€.</w:t>
            </w:r>
          </w:p>
          <w:p>
            <w:pPr>
              <w:ind w:left="-284" w:right="-427"/>
              <w:jc w:val="both"/>
              <w:rPr>
                <w:rFonts/>
                <w:color w:val="262626" w:themeColor="text1" w:themeTint="D9"/>
              </w:rPr>
            </w:pPr>
            <w:r>
              <w:t>	Más información:</w:t>
            </w:r>
          </w:p>
          <w:p>
            <w:pPr>
              <w:ind w:left="-284" w:right="-427"/>
              <w:jc w:val="both"/>
              <w:rPr>
                <w:rFonts/>
                <w:color w:val="262626" w:themeColor="text1" w:themeTint="D9"/>
              </w:rPr>
            </w:pPr>
            <w:r>
              <w:t>	http://upcvideogames.com/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School</w:t>
      </w:r>
    </w:p>
    <w:p w:rsidR="00C31F72" w:rsidRDefault="00C31F72" w:rsidP="00AB63FE">
      <w:pPr>
        <w:pStyle w:val="Sinespaciado"/>
        <w:spacing w:line="276" w:lineRule="auto"/>
        <w:ind w:left="-284"/>
        <w:rPr>
          <w:rFonts w:ascii="Arial" w:hAnsi="Arial" w:cs="Arial"/>
        </w:rPr>
      </w:pPr>
      <w:r>
        <w:rPr>
          <w:rFonts w:ascii="Arial" w:hAnsi="Arial" w:cs="Arial"/>
        </w:rPr>
        <w:t>Másters y posgrados de formación permanente de la UPC</w:t>
      </w:r>
    </w:p>
    <w:p w:rsidR="00AB63FE" w:rsidRDefault="00C31F72" w:rsidP="00AB63FE">
      <w:pPr>
        <w:pStyle w:val="Sinespaciado"/>
        <w:spacing w:line="276" w:lineRule="auto"/>
        <w:ind w:left="-284"/>
        <w:rPr>
          <w:rFonts w:ascii="Arial" w:hAnsi="Arial" w:cs="Arial"/>
        </w:rPr>
      </w:pPr>
      <w:r>
        <w:rPr>
          <w:rFonts w:ascii="Arial" w:hAnsi="Arial" w:cs="Arial"/>
        </w:rPr>
        <w:t>931120808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https://www.notasdeprensa.es/segunda-edicion-del-concurso-de-videojuegos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Juegos E-Commerce Software Dispositivos móviles Premios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