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SERES, la factura electrónica sigue siendo una asignatura pendiente en el sector de la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factura electrónica en el sector de la investigación en España sigue siendo una asignatura pendiente, según el Estudio sobre el uso de la factura electrónica en España 2017-2018, elaborado por SERES. Según este informe, el sector de la investigación representa el 0,63% de las empresas emisoras de facturas electrónicas españolas y también el 0,88% de las receptoras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volumen de facturas, esta participación representa el 0,10% del total de las facturas emitidas y el 0,07% de las recibidas. “Es evidente, que queda mucho por hacer en este sector. Estas cifras son paradójicas, puesto que se trata de un sector de actividad muy importante para todo el territorio español”, explica Alberto Redondo, director de Marketing y Comunicación para Iberia y LATAM de SERES.</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w:t>
            </w:r>
          </w:p>
          <w:p>
            <w:pPr>
              <w:ind w:left="-284" w:right="-427"/>
              <w:jc w:val="both"/>
              <w:rPr>
                <w:rFonts/>
                <w:color w:val="262626" w:themeColor="text1" w:themeTint="D9"/>
              </w:rPr>
            </w:pPr>
            <w:r>
              <w:t>¿Quién usa la factura electrónica?</w:t>
            </w:r>
          </w:p>
          <w:p>
            <w:pPr>
              <w:ind w:left="-284" w:right="-427"/>
              <w:jc w:val="both"/>
              <w:rPr>
                <w:rFonts/>
                <w:color w:val="262626" w:themeColor="text1" w:themeTint="D9"/>
              </w:rPr>
            </w:pPr>
            <w:r>
              <w:t>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w:t>
            </w:r>
          </w:p>
          <w:p>
            <w:pPr>
              <w:ind w:left="-284" w:right="-427"/>
              <w:jc w:val="both"/>
              <w:rPr>
                <w:rFonts/>
                <w:color w:val="262626" w:themeColor="text1" w:themeTint="D9"/>
              </w:rPr>
            </w:pPr>
            <w:r>
              <w:t>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w:t>
            </w:r>
          </w:p>
          <w:p>
            <w:pPr>
              <w:ind w:left="-284" w:right="-427"/>
              <w:jc w:val="both"/>
              <w:rPr>
                <w:rFonts/>
                <w:color w:val="262626" w:themeColor="text1" w:themeTint="D9"/>
              </w:rPr>
            </w:pPr>
            <w:r>
              <w:t>Por sectoresPor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w:t>
            </w:r>
          </w:p>
          <w:p>
            <w:pPr>
              <w:ind w:left="-284" w:right="-427"/>
              <w:jc w:val="both"/>
              <w:rPr>
                <w:rFonts/>
                <w:color w:val="262626" w:themeColor="text1" w:themeTint="D9"/>
              </w:rPr>
            </w:pPr>
            <w:r>
              <w:t>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w:t>
            </w:r>
          </w:p>
          <w:p>
            <w:pPr>
              <w:ind w:left="-284" w:right="-427"/>
              <w:jc w:val="both"/>
              <w:rPr>
                <w:rFonts/>
                <w:color w:val="262626" w:themeColor="text1" w:themeTint="D9"/>
              </w:rPr>
            </w:pPr>
            <w:r>
              <w:t>“En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similar ocurrirá en Canarias, en 2019, tras la implantación de SII a principios de eneros de este año.</w:t>
            </w:r>
          </w:p>
          <w:p>
            <w:pPr>
              <w:ind w:left="-284" w:right="-427"/>
              <w:jc w:val="both"/>
              <w:rPr>
                <w:rFonts/>
                <w:color w:val="262626" w:themeColor="text1" w:themeTint="D9"/>
              </w:rPr>
            </w:pPr>
            <w:r>
              <w:t>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 relevante, sobre todo de cara al futuro, el éxito internacional de la factura electrónica y los impulsos dados por la Unión Europea por normalizar su uso entre los países miembros. Un impulso a que ha permitido el desarrollo, a lo largo de 2018, de un nuevo formato común de factura electrónica cuyo uso es obligatorio en las contrataciones públicas europeas desde el 18 de abril de 2019.</w:t>
            </w:r>
          </w:p>
          <w:p>
            <w:pPr>
              <w:ind w:left="-284" w:right="-427"/>
              <w:jc w:val="both"/>
              <w:rPr>
                <w:rFonts/>
                <w:color w:val="262626" w:themeColor="text1" w:themeTint="D9"/>
              </w:rPr>
            </w:pPr>
            <w:r>
              <w:t>“En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que es obligatorio en las relaciones B2G desde el pasado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https://www.notasdeprensa.es/segun-seres-la-factura-electronica-sigue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