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anuncia la creación de su tercer fondo de impacto ‘Schneider Energy Access Asia’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diez años de éxito con este tipo de inversión, Schneider Electric lanza su tercer fondo de impacto para proporcionar electricidad segura, limpia y sostenible a las comunidades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y automatización de la energía, ha anunciado en el Innovation Summit de Barcelona, el evento de referencia de la compañía que se celebra entre el 2 y el 3 de octubre, que ha acordado con sus socios Norfund, EDFI y Amundi la creación de un nuevo fondo de impacto denominado ‘Schneider Electric Energy Access Asia’. El fondo está dirigido a los 350 millones de personas que no tienen acceso a la energía, principalmente en India, Bangladesh, Myanmar, Indonesia y Filipinas.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estrategia es proporcionar el beneficio de la electricidad a los hogares, pequeñas empresas y servicios colectivos, como escuelas o centros de salud, mediante la inversión en la cadena de valor del acceso a la energía: fabricantes, distribuidores y proveedores de soluciones. Los beneficiarios serán elegidos principalmente en base a los siguientes tres criterios: (1) contribución al Objetivo de Desarrollo Sostenible Nº7 de la compañía a través de un impacto medible en Asia Pacífico; (2) potencial de crecimiento y viabilidad financiera; (3) gobernanza clara y voluntad de respetar los criterios del compromiso con el medio ambiente y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“Creemos que, para impulsar un cambio positivo duradero, la inversión de impacto es crucial y acelerará nuestra ambición de cuadruplicar el número de personas que obtienen acceso a la energía. Estamos hablando de aproximadamente 24 millones de personas que han obtenido acceso a la energía desde 2009 y 80 millones que lo obtendrán en 2030 gracias a nuestras ofertas e inversiones. Es hora de acelerar para garantizar que ninguna comunidad se queda atrás. Debemos asignar capital y habilidades para construir el mundo que queremos ver para nosotros y para las generaciones futuras, y este nuevo fondo es una demostración de que nuestros objetivos son ambiciosos y desafiantes”, ha declarado Gilles Vermot Desroches, Director de Sostenibilidad de Schneider Electric.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 este nuevo fondo, se destinará un total de 20,9 millones de euros a las nuevas empresas que trabajan para garantizar el acceso a la energía en Asia Pacífico y acelerar el desarrollo económico”, ha destacado Christophe Poline, Director de Inversión de Impacto de Schneider Electric.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ya contaba con dos vehículos de inversión de impacto para apoyar nuevas empresas con objetivos inclusivos en el ámbito de la energía limpia y asequible. Los resultados que se esperan de estos fondos son aumentar el número de hogares y pequeñas y medianas empresas que se benefician del acceso a la electricidad en áreas remotas (África, India y el Sudeste asiático), y disminuir la cifra de hogares que enfrentan la pobreza energética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el viaje hacia la sostenibilidad y la inversión de impacto de Schneider Electric, visitar http://sdreport.se.com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https://www.notasdeprensa.es/schneider-electric-anuncia-la-creacion-de-su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Ecología 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