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tiene previsto emitir bonos de grado de inversión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proveedor global de los sectores de automoción e industrial tiene previsto emitir bonos de grado de inversión basados en sus cifras para la totalidad del ejercicio 2018 y en función de las condiciones del mercado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ha establecido un programa de emisión de deuda con un volumen de hasta 5.000 millones de euros para la emisión de bonos de grado de inversión en los mercados de capital de deuda.</w:t></w:r></w:p><w:p><w:pPr><w:ind w:left="-284" w:right="-427"/>	<w:jc w:val="both"/><w:rPr><w:rFonts/><w:color w:val="262626" w:themeColor="text1" w:themeTint="D9"/></w:rPr></w:pPr><w:r><w:t>Desde el año pasado, Schaeffler está calificada como grado de inversión (investment grade) por las tres agencias de calificación internacionalmente reconocidas, Fitch ( and #39; and #39;BBB and #39; and #39;), Moody’s ( and #39; and #39;Baa3 and #39; and #39;) y Standard  and  Poors ( and #39; and #39;BBB and #39; and #39;). Estas tres calificaciones confirman el sólido balance y la fortaleza de capital del Grupo Schaeffler.</w:t></w:r></w:p><w:p><w:pPr><w:ind w:left="-284" w:right="-427"/>	<w:jc w:val="both"/><w:rPr><w:rFonts/><w:color w:val="262626" w:themeColor="text1" w:themeTint="D9"/></w:rPr></w:pPr><w:r><w:t>Actualmente, la estructura financiera del Grupo consiste en préstamos bancarios sindicados y bonos de alto rendimiento (high yield) parcialmente rescatables. La transformación de la estructura financiera y el establecimiento a largo plazo como empresa con calificación de  and #39; and #39;investment grade and #39; and #39; crean una mayor flexibilidad operativa y financiera para respaldar la implementación de la estrategia de crecimiento de Schaeffler.</w:t></w:r></w:p><w:p><w:pPr><w:ind w:left="-284" w:right="-427"/>	<w:jc w:val="both"/><w:rPr><w:rFonts/><w:color w:val="262626" w:themeColor="text1" w:themeTint="D9"/></w:rPr></w:pPr><w:r><w:t>Dietmar Heinrich, Chief Financial Officer de Schaeffler AG, ha subrayado:  and #39; and #39;En los últimos años, el Grupo Schaeffler ha desarrollado con consistencia su estructura financiera. Con la emisión prevista de los bonos de grado de inversión, continuaremos en este camino y queremos establecernos en este segmento del mercado a largo plazo and #39; and #39;.</w:t></w:r></w:p><w:p><w:pPr><w:ind w:left="-284" w:right="-427"/>	<w:jc w:val="both"/><w:rPr><w:rFonts/><w:color w:val="262626" w:themeColor="text1" w:themeTint="D9"/></w:rPr></w:pPr><w:r><w:t>Descargo de responsabilidadEste anuncio no constituye una oferta para comprar, vender o disponer de ningún otro valor de Schaeffler AG, ni una solicitud de una oferta para comprar cualquier título de Schaeffler AG. La compra o suscripción de bonos de Schaeffler AG solo debe realizarse en base al folleto de valores aprobado.</w:t></w:r></w:p><w:p><w:pPr><w:ind w:left="-284" w:right="-427"/>	<w:jc w:val="both"/><w:rPr><w:rFonts/><w:color w:val="262626" w:themeColor="text1" w:themeTint="D9"/></w:rPr></w:pPr><w:r><w:t>El presente anuncio no debe distribuirse ni publicarse en los Estados Unidos de América (incluyendo sus territorios y posesiones), Canadá, Australia o Japón, o en ningún otro país en el que dicha distribución pueda ser ilegal. Los receptores de este anuncio deberán informarse y tener en cuenta estas restricciones. Cualquier incumplimiento de estas restricciones puede constituir una violación de las leyes del mercado de capitales de dichas jurisdicciones.</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Sobre SchaefflerEl Grupo Schaeffler es un proveedor global del sector industrial y de la automoción. Mediante componentes de precisión y sistemas para aplicaciones de motor, transmisión y chasis, así como con soluciones de rodamientos y casquillos de fricción para una gran variedad de aplicaciones industriales, el Grupo Schaeffler ya da forma a la  and #39; and #39;Movilidad del mañana and #39; and #39; a un nivel decisivo. En 2018, la empresa generó ventas por un valor de 14.200 millones de euros. Con alrededor de 92.500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2018,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 </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https://www.notasdeprensa.es/schaeffler-tiene-previsto-emitir-bonos-de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