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España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consigue la primera cancelación de deuda en Bilbao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deuda, con 25 Bancos, ascendía a 134.068 €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nº11 de Bilbao (País Vasco) ha exonerado de una deuda que ascendía a 134.068 euros con 25 acreedores en el caso de MC. Repara tu Deuda, despacho de abogados líder en España en la aplicación de esta legislación, que entró en vigor en España en 2015, lo ha tramitado. El de MC, es la primera cancelación de deuda que se consigue en Bilbao aplicando la Ley de Segunda Oportunidad. </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 Debora Carralero, responsable del departamento de documentación del despacho de abogados Repara tu Deuda- y dar por concluido el proceso concursal, se tiene presente que el concurso no ha sido declarado culpable, que en la conducta del deudor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Para reducir aún más los costes del procedimiento, Repara tu Deuda abogados emplea una app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https://www.notasdeprensa.es/repara-tu-deuda-consigue-la-primera_4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