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consigue otra cancelación de deuda en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líder en la Ley de la Segunda Oportunidad debía 17.492 euros a dos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(Islas Baleares) ha otorgado otra cancelación de deuda aplicando la Ley de Segunda Oportunidad, ocupando Palma de Mallorca en uno de los primeros puestos en BEPIs otorgados desde que entró en vigor esta legislación en 2015. El 95% de casos tramitados en las Islas Baleares los ha gestionado Repara tu Deuda, despacho de abogados pionero en la tramitación de la Ley de Segunda Oportunidad en España.</w:t>
            </w:r>
          </w:p>
          <w:p>
            <w:pPr>
              <w:ind w:left="-284" w:right="-427"/>
              <w:jc w:val="both"/>
              <w:rPr>
                <w:rFonts/>
                <w:color w:val="262626" w:themeColor="text1" w:themeTint="D9"/>
              </w:rPr>
            </w:pPr>
            <w:r>
              <w:t>Se trata del caso de SD, vecina de Palma de Mallorca, de origen búlgaro. SD había acumulado una deuda de 17.492 euros con dos entidades bancarias. Con una nómina de 780 euros no podía hacer frente a los pagos.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 La cifra va en aumento y los abogados de Repara tu Deuda gestionan más del 89% de todos los casos a nivel nacional.</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https://www.notasdeprensa.es/repara-tu-deuda-abogados-consigue-otra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