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Repara tu Deuda Abogados consigue cancelar 122.707 euros en Mallorca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líder en nuestro país debía a 6 bancos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(Islas Baleares) ha otorgado otra cancelación de deuda aplicando la Ley de Segunda Oportunidad, ocupando Palma de Mallorca en uno de los primeros puestos en BEPIs otorgados desde que entró en vigor esta legislación en 2015. El 95% de casos tramitados en las Islas Baleares los ha gestionado Repara tu Deuda, despacho de abogados pionero en la tramitación de la Ley de Segunda Oportunidad en España.</w:t>
            </w:r>
          </w:p>
          <w:p>
            <w:pPr>
              <w:ind w:left="-284" w:right="-427"/>
              <w:jc w:val="both"/>
              <w:rPr>
                <w:rFonts/>
                <w:color w:val="262626" w:themeColor="text1" w:themeTint="D9"/>
              </w:rPr>
            </w:pPr>
            <w:r>
              <w:t>Se trata del caso de NC, vecino de Palma de Mallorca, de origen ecuatoriano. NC, soltero y con un hijo a su cargo, había acumulado una deuda de 122.707 euros con seis entidades. Con unos ingresos de 1.000 euros por baja médica, no podía hacer frente a los pagos.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 Sandra Codesido supervisora en Repara tu deuda abogados-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mentalidad de superar el fracaso económico y volver a empezar en otros países está más normalizado que en España”,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después de 4 años de la entrada en vigor de la Ley de la Segunda Oportunidad. La cifra va en aumento y los abogados de Repara tu Deuda gestionan más del 89% de todos los casos a nivel nacional.</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https://www.notasdeprensa.es/repara-tu-deuda-abogados-consigue-cancelar-122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