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57.600 eur a un hombre de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líder en España, tiene un hijo a su cargo y una nómina de 741 eur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concedido la cancelación de su deuda a Luis Andrés Campo Medina, vecino de la ciudad condal de origen colombiano. Luis Andrés está casado y tiene un hijo a su cargo. Con una nómina de 741 euros/mes, había acumulado una deuda de 57.600 euros con tres entidades. Ahora, gracias a Repara tu Deuda, compañía líder en España en la tramitación de la Ley de Segunda Oportunidad, ha quedado libre de todas sus deudas.</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acceso a la Ley de la Segunda Oportunidad y es por este motivo que los abogados de Repara tu deuda se adaptan en cada caso según la capacidad económica de sus cliente, con la máxima de no dejar a nadie sin una segunda oportunidad para empezar de nuevo con más fuerza.</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https://www.notasdeprensa.es/repara-tu-deuda-abogados-cancelan-57-600-eur-a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