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Ramells Ramoneda detalla las claves para entender el funcionamiento de las ‘Vat Quick Fixes 2020’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asesores y consultores de Barcelona ofrecen pautas para la comprender las nuevas regulaciones en las operaciones intracomunitarias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Situando antecedentes, a finales del 2018, el Consejo de la Unión Europea aprobó la Directiva 2018/1910, que entrará en vigor en todos los Estados miembros de la UE a partir del próximo 1 de enero de 2020, y que pone en marcha las denominadas Soluciones Rápidas para la simplificación en las operaciones intracomunitarias y que pretenden explicar desde Ramells Ramoneda, firma de profesionales especializados en las áreas fiscal, contable, mercantil, laboral y de control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manera resumida, Ramells Ramoneda analiza las ‘Quick Fixes’ de las operaciones más habituales. Concretamente a la aplicación de la exención en las entregas intracomunitarias de bienes.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exención quedará condicionada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que el empresario adquirente disponga de un NIF-IVA incluido en el Sistema de intercambio de información sobre el IVA (Sistema VIES):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que el proveedor haya incluido la información relativa a dicha operación de forma correcta en la declaración recapitulativa de operaciones intracomunitarias correspondiente (modelo 349).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además la prueba del transporte intracomunitario.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acreditar el transporte hace falta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 los elementos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Documentos relacionados con la expedición o el transporte, tales como una carta o documento CMR* firmados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conocimiento de embarque,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factura de flete aéreo o una factura del transportista;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elemento de la relación anterior y uno de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Póliza de seguros por la expedición o transporte/documentos bancarios que prueben el pago de la expedición o transporte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Documentos oficiales expedidos por una autoridad pública (notario), que acrediten la llegada al Estado de destino,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Recibo extendido por un depositario en el Estado de destino que confirme el almacenamiento en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*CMR es un documento empleado en el transporte internacional en el que se recogen las condiciones y responsabilidades del acuerdo realizado entre un remitente, el receptor, y el encargado del transporte de las mercancías. Se aplica por lo tanto a todos los contratos de transporte de mercancías que se realicen por carretera.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https://www.notasdeprensa.es/ramells-ramoneda-detalla-las-claves-para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