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PortCastelló expone en Breakbulk Europe 2019 sus récords en graneles sólidos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puerto de Castellón, a través de la Fundación PortCastelló, participa en Breakbulk Europe 2019, la feria especializada en "project cargo" y carga a granel que sirve como punto de encuentro para operadores logísticos, empresas transitarias y fabricantes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11.000 profesionales del sector participan en este evento, que se celebra desde hoy y hasta el 23 de mayo en la ciudad alemana de Bremen. PortCastelló participa bajo el paraguas comercial de Puertos del Estado en el stand “Ports of Spain” con el objetivo de mostrar su potencial logístico y su crecimiento, que le sitúa entre los nueve primeros puertos españoles y el cuarto en tráfico de graneles sólidos.</w:t>
            </w:r>
          </w:p>
          <w:p>
            <w:pPr>
              <w:ind w:left="-284" w:right="-427"/>
              <w:jc w:val="both"/>
              <w:rPr>
                <w:rFonts/>
                <w:color w:val="262626" w:themeColor="text1" w:themeTint="D9"/>
              </w:rPr>
            </w:pPr>
            <w:r>
              <w:t>De hecho, PortCastelló se presenta en Breakbulk Europe batiendo récords de toneladas movidas en 2018, superando los 21 millones, lo que le convierte en el segundo puerto del sistema portuario con mayor crecimiento de tráfico total, un 18%. También mostrará su récord de graneles sólidos con 7,4 millones de toneladas el pasado año, siendo el que más crece en este tipo de tráficos.</w:t>
            </w:r>
          </w:p>
          <w:p>
            <w:pPr>
              <w:ind w:left="-284" w:right="-427"/>
              <w:jc w:val="both"/>
              <w:rPr>
                <w:rFonts/>
                <w:color w:val="262626" w:themeColor="text1" w:themeTint="D9"/>
              </w:rPr>
            </w:pPr>
            <w:r>
              <w:t>La Fundación también promocionará las potencialidades que ofrece el recinto portuario castellonense en materia de conectividad. De hecho, es el quinto mejor conectado de España según el Índice de Conectividad Marítima elaborado recientemente por la Fundación Valencia Port y que mide el volumen de conexiones, destinos y frecuencias de los puertos</w:t>
            </w:r>
          </w:p>
          <w:p>
            <w:pPr>
              <w:ind w:left="-284" w:right="-427"/>
              <w:jc w:val="both"/>
              <w:rPr>
                <w:rFonts/>
                <w:color w:val="262626" w:themeColor="text1" w:themeTint="D9"/>
              </w:rPr>
            </w:pPr>
            <w:r>
              <w:t>Por otro lado, PortCastelló divulgará en la feria su potencial para el manejo de cargas especiales y maquinaria especial, como lo demuestra el hecho de que la multinacional danesa LM Windpower haya escogido al puerto de Castellón para exportar las palas de 73,5 metros de longitud para generadores eólicos desde su factoría en Les Coves de Vinromá hasta el mar del Norte. Son las más grandes que se fabrican en Europa y su transporte y embarque requieren de una operativa y técnica muy especial.</w:t>
            </w:r>
          </w:p>
          <w:p>
            <w:pPr>
              <w:ind w:left="-284" w:right="-427"/>
              <w:jc w:val="both"/>
              <w:rPr>
                <w:rFonts/>
                <w:color w:val="262626" w:themeColor="text1" w:themeTint="D9"/>
              </w:rPr>
            </w:pPr>
            <w:r>
              <w:t>El puerto de Castellón ha organizado una amplia agenda de trabajo para establecer contactos comerciales e informar de las infraestructuras productivas en materia de conectividad viaria y ferroviaria así como su nueva zona logística.</w:t>
            </w:r>
          </w:p>
          <w:p>
            <w:pPr>
              <w:ind w:left="-284" w:right="-427"/>
              <w:jc w:val="both"/>
              <w:rPr>
                <w:rFonts/>
                <w:color w:val="262626" w:themeColor="text1" w:themeTint="D9"/>
              </w:rPr>
            </w:pPr>
            <w:r>
              <w:t>El presidente de la Autoridad Portuaria de Castellón, Francisco Toledo, ha destacado que el puerto de Castellón es un nodo logístico esencial en el Mediterráneo y ha recalcado que “somos altamente competitivos para el transporte de cargas especiales”. Al mismo tiempo, ha señalado que “las industrias de la carga de proyecto generan oportunidades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PortCastelló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https://www.notasdeprensa.es/portcastello-expone-en-breakbulk-europe-2019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Valencia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