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aumenta sus ingresos un 40% en la segunda mitad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2019 ha sido el primer año completo de negociación bajo el nuevo régimen regulatorio introducido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líder en negociación de CFDs a nivel global, ha anunciado los resultados financieros preliminares no auditados de 2019, acabados el 31 de diciembre de 2019. Un año con dos mitades muy diferenciadas con una gran mejora durante el segundo semestre del año</w:t>
            </w:r>
          </w:p>
          <w:p>
            <w:pPr>
              <w:ind w:left="-284" w:right="-427"/>
              <w:jc w:val="both"/>
              <w:rPr>
                <w:rFonts/>
                <w:color w:val="262626" w:themeColor="text1" w:themeTint="D9"/>
              </w:rPr>
            </w:pPr>
            <w:r>
              <w:t>
                Rendimiento sólido en todas las métricas clave en el H2 de 2019 en comparación con el H1 2019, que se vio afectado por una volatilidad extremadamente baja en el primer trimestre de 2019. El fuerte H2 de 2019 se debió principalmente al aumento de las oportunidades comerciales identificadas por los clientes, lo que refleja unas condiciones de mercado más volátiles que durante el resto del año.			
                <w:p>
                  <w:pPr>
                    <w:ind w:left="-284" w:right="-427"/>
                    <w:jc w:val="both"/>
                    <w:rPr>
                      <w:rFonts/>
                      <w:color w:val="262626" w:themeColor="text1" w:themeTint="D9"/>
                    </w:rPr>
                  </w:pPr>
                  <w:r>
                    <w:t>Los ingresos del segundo semestre de 2019 aumentaron un 40% respecto al primer semestre de 2019, alcanzando los 206,5$ millones (H1 2019: 148,0$ millones) (FY 2019: 354,5$ millones, FY 2018: 720,4$ millones);</w:t>
                  </w:r>
                </w:p>
                <w:p>
                  <w:pPr>
                    <w:ind w:left="-284" w:right="-427"/>
                    <w:jc w:val="both"/>
                    <w:rPr>
                      <w:rFonts/>
                      <w:color w:val="262626" w:themeColor="text1" w:themeTint="D9"/>
                    </w:rPr>
                  </w:pPr>
                  <w:r>
                    <w:t>El EBITDA[1] durante el segundo semestre de 2019 subió un 93% respecto al primer semestre del año, alcanzando los 126,7$ millones (H1 2019: 65,6$ millones) (FY 2019: 192,3$ millones, FY 2018: 506,0$ millones);</w:t>
                  </w:r>
                </w:p>
                <w:p>
                  <w:pPr>
                    <w:ind w:left="-284" w:right="-427"/>
                    <w:jc w:val="both"/>
                    <w:rPr>
                      <w:rFonts/>
                      <w:color w:val="262626" w:themeColor="text1" w:themeTint="D9"/>
                    </w:rPr>
                  </w:pPr>
                  <w:r>
                    <w:t>El beneficio neto durante el segundo semestre de 2019 subió un 94% respecto al primer semestre del año, alcanzando los 100,1$ millones (H1 2019: 51,6$ millones) (FY 2019: 151,7$ millones, FY 2018: 379,0$ millones);</w:t>
                  </w:r>
                </w:p>
              </w:t>
            </w:r>
          </w:p>
          <w:p>
            <w:pPr>
              <w:ind w:left="-284" w:right="-427"/>
              <w:jc w:val="both"/>
              <w:rPr>
                <w:rFonts/>
                <w:color w:val="262626" w:themeColor="text1" w:themeTint="D9"/>
              </w:rPr>
            </w:pPr>
            <w:r>
              <w:t>2019 marcó el primer año completo de negociación bajo el nuevo régimen regulatorio introducido por los reguladores europeos, siendo los patrones de negociación de los clientes ajustados a lo largo del año;</w:t>
            </w:r>
          </w:p>
          <w:p>
            <w:pPr>
              <w:ind w:left="-284" w:right="-427"/>
              <w:jc w:val="both"/>
              <w:rPr>
                <w:rFonts/>
                <w:color w:val="262626" w:themeColor="text1" w:themeTint="D9"/>
              </w:rPr>
            </w:pPr>
            <w:r>
              <w:t>Posición financiera sólidaEl Grupo mantuvo una alta conversión de efectivo operativo[2] del 88% en 2019 (año fiscal 2018: 98%), respaldada por un modelo de negocio altamente eficiente y generador de efectivo. Dando como resultado efectivo y equivalentes de efectivo al final del año de 292,9$ millones, tras la distribución de 148,3$ millones en retorno para accionistas durante el año;</w:t>
            </w:r>
          </w:p>
          <w:p>
            <w:pPr>
              <w:ind w:left="-284" w:right="-427"/>
              <w:jc w:val="both"/>
              <w:rPr>
                <w:rFonts/>
                <w:color w:val="262626" w:themeColor="text1" w:themeTint="D9"/>
              </w:rPr>
            </w:pPr>
            <w:r>
              <w:t>Continuar ofreciendo rendimientos significativos para los accionistas</w:t>
            </w:r>
          </w:p>
          <w:p>
            <w:pPr>
              <w:ind w:left="-284" w:right="-427"/>
              <w:jc w:val="both"/>
              <w:rPr>
                <w:rFonts/>
                <w:color w:val="262626" w:themeColor="text1" w:themeTint="D9"/>
              </w:rPr>
            </w:pPr>
            <w:r>
              <w:t>
                El 100% de la ganancia neta de 2019 se propone distribuir entre los accionistas, el equivalente a un total de 151,7$ millones consistente en dividendos provisionales y finales por un total de 71,7$ millones y 80$ millones en programas de recompra de acciones:			
                <w:p>
                  <w:pPr>
                    <w:ind w:left="-284" w:right="-427"/>
                    <w:jc w:val="both"/>
                    <w:rPr>
                      <w:rFonts/>
                      <w:color w:val="262626" w:themeColor="text1" w:themeTint="D9"/>
                    </w:rPr>
                  </w:pPr>
                  <w:r>
                    <w:t>Dividendo provisional de 30,9$ millones distribuidos en noviembre de 2019 y un programa de recompra de acciones de 50$ millones anunciado en agosto de 2019 y ejecutado en su totalidad;</w:t>
                  </w:r>
                </w:p>
                <w:p>
                  <w:pPr>
                    <w:ind w:left="-284" w:right="-427"/>
                    <w:jc w:val="both"/>
                    <w:rPr>
                      <w:rFonts/>
                      <w:color w:val="262626" w:themeColor="text1" w:themeTint="D9"/>
                    </w:rPr>
                  </w:pPr>
                  <w:r>
                    <w:t>Dividendo final de 40,8$ millones (año fiscal 2018: 70.2$ millones), 0,3767$ por acción (año fiscal 2018: 0.6191$ por acción);</w:t>
                  </w:r>
                </w:p>
              </w:t>
            </w:r>
          </w:p>
          <w:p>
            <w:pPr>
              <w:ind w:left="-284" w:right="-427"/>
              <w:jc w:val="both"/>
              <w:rPr>
                <w:rFonts/>
                <w:color w:val="262626" w:themeColor="text1" w:themeTint="D9"/>
              </w:rPr>
            </w:pPr>
            <w:r>
              <w:t>La Junta tiene la intención de llevar a cabo un nuevo programa de recompra de acciones en 2020 para la compra de hasta 30$ millones de las acciones de la Compañía;</w:t>
            </w:r>
          </w:p>
          <w:p>
            <w:pPr>
              <w:ind w:left="-284" w:right="-427"/>
              <w:jc w:val="both"/>
              <w:rPr>
                <w:rFonts/>
                <w:color w:val="262626" w:themeColor="text1" w:themeTint="D9"/>
              </w:rPr>
            </w:pPr>
            <w:r>
              <w:t>Puntos destacados operacionalesSe consiguió un promedio de aproximadamente 3 millones de intercambios por parte de los clientes al mes durante 2019; El depósito promedio por Cliente Activo[3] aumentó un 19% año a año a 5.116$ (año fiscal 2018: 4.284$), lo que refleja la continua y sólida confianza de nuestros clientes en nuestra plataforma de negociación.</w:t>
            </w:r>
          </w:p>
          <w:p>
            <w:pPr>
              <w:ind w:left="-284" w:right="-427"/>
              <w:jc w:val="both"/>
              <w:rPr>
                <w:rFonts/>
                <w:color w:val="262626" w:themeColor="text1" w:themeTint="D9"/>
              </w:rPr>
            </w:pPr>
            <w:r>
              <w:t>Inversión continua en tecnología e innovación para mejorar aún más la propuesta del cliente del Grupo a través de la introducción de nuevas características, instrumentos y herramientas comerciales, canales de soporte y una interfaz mejorada para el cliente. Además de un mayor enfoque en los mercados principales y una expansión continua a nivel mundial</w:t>
            </w:r>
          </w:p>
          <w:p>
            <w:pPr>
              <w:ind w:left="-284" w:right="-427"/>
              <w:jc w:val="both"/>
              <w:rPr>
                <w:rFonts/>
                <w:color w:val="262626" w:themeColor="text1" w:themeTint="D9"/>
              </w:rPr>
            </w:pPr>
            <w:r>
              <w:t>Plus500 conservó con éxito posiciones líderes en la industria en los mercados centrales como el mayor proveedor de CFD en el Reino Unido[4], Alemania[5] y España[6] y como la plataforma móvil mejor calificada entre los traders de CFDs en Australia[7];</w:t>
            </w:r>
          </w:p>
          <w:p>
            <w:pPr>
              <w:ind w:left="-284" w:right="-427"/>
              <w:jc w:val="both"/>
              <w:rPr>
                <w:rFonts/>
                <w:color w:val="262626" w:themeColor="text1" w:themeTint="D9"/>
              </w:rPr>
            </w:pPr>
            <w:r>
              <w:t>Después del final del año, la Autoridad de Servicios Financieros emitió una nueva licencia de agente de valores en Seychelles, complementando las siete licencias regulatorias existentes del Grupo a nivel internacional y refleja el sólido régimen regulatorio del Grupo;</w:t>
            </w:r>
          </w:p>
          <w:p>
            <w:pPr>
              <w:ind w:left="-284" w:right="-427"/>
              <w:jc w:val="both"/>
              <w:rPr>
                <w:rFonts/>
                <w:color w:val="262626" w:themeColor="text1" w:themeTint="D9"/>
              </w:rPr>
            </w:pPr>
            <w:r>
              <w:t>Trading actualEl impulso positivo ha continuado en 2020, reflejando niveles elevados de volatilidad en los mercados financieros debido a eventos a nivel mundial. La Junta mantiene su confianza en las perspectivas del Grupo para el próximo año.</w:t>
            </w:r>
          </w:p>
          <w:p>
            <w:pPr>
              <w:ind w:left="-284" w:right="-427"/>
              <w:jc w:val="both"/>
              <w:rPr>
                <w:rFonts/>
                <w:color w:val="262626" w:themeColor="text1" w:themeTint="D9"/>
              </w:rPr>
            </w:pPr>
            <w:r>
              <w:t>Asaf Elimelech, CEO de Plus500, comentó: "Terminamos 2019 en un buen momento financiero y operativo después de un período de cambios para la industria que ha proporcionado una perspectiva reguladora más segura para Plus500 y para el sector en general.</w:t>
            </w:r>
          </w:p>
          <w:p>
            <w:pPr>
              <w:ind w:left="-284" w:right="-427"/>
              <w:jc w:val="both"/>
              <w:rPr>
                <w:rFonts/>
                <w:color w:val="262626" w:themeColor="text1" w:themeTint="D9"/>
              </w:rPr>
            </w:pPr>
            <w:r>
              <w:t>Estamos particularmente satisfechos con la fuerte mejora en el desempeño financiero durante la segunda mitad de 2019 y creemos que los patrones de negociación de los clientes ahora se han ajustado tras los cambios regulatorios introducidos en Europa el año pasado. Por otro lado, seguimos monitoreando y preparándonos ante cualquier posible medida de intervención que se espera que tenga lugar en Australia durante 2020.</w:t>
            </w:r>
          </w:p>
          <w:p>
            <w:pPr>
              <w:ind w:left="-284" w:right="-427"/>
              <w:jc w:val="both"/>
              <w:rPr>
                <w:rFonts/>
                <w:color w:val="262626" w:themeColor="text1" w:themeTint="D9"/>
              </w:rPr>
            </w:pPr>
            <w:r>
              <w:t>También nos sentimos orgullosos del gran impulso comercial que hemos mostrado este final del año, un impulso que refleja la optimización continua de nuestro gasto en marketing, las mejoras en nuestro servicio al cliente y en plataforma de tecnología patentada, además de la optimización de los costes adicionales.</w:t>
            </w:r>
          </w:p>
          <w:p>
            <w:pPr>
              <w:ind w:left="-284" w:right="-427"/>
              <w:jc w:val="both"/>
              <w:rPr>
                <w:rFonts/>
                <w:color w:val="262626" w:themeColor="text1" w:themeTint="D9"/>
              </w:rPr>
            </w:pPr>
            <w:r>
              <w:t>Nos complace aún más nuestra capacidad de proporcionar un valor significativo a nuestros accionistas con la entrega de fuertes retornos que representan el 100% de nuestra ganancia neta de 2019.</w:t>
            </w:r>
          </w:p>
          <w:p>
            <w:pPr>
              <w:ind w:left="-284" w:right="-427"/>
              <w:jc w:val="both"/>
              <w:rPr>
                <w:rFonts/>
                <w:color w:val="262626" w:themeColor="text1" w:themeTint="D9"/>
              </w:rPr>
            </w:pPr>
            <w:r>
              <w:t>Mirando hacia 2020, confiamos en las perspectivas para el Grupo a medida que nos enfocamos en fortalecer aún más nuestra oferta para los clientes y nuestras posiciones en el mercado, generando así crecimiento y mayores retornos para los accionistas".</w:t>
            </w:r>
          </w:p>
          <w:p>
            <w:pPr>
              <w:ind w:left="-284" w:right="-427"/>
              <w:jc w:val="both"/>
              <w:rPr>
                <w:rFonts/>
                <w:color w:val="262626" w:themeColor="text1" w:themeTint="D9"/>
              </w:rPr>
            </w:pPr>
            <w:r>
              <w:t>La Compañía considera que la información contenida en este anuncio constituye información privilegiada según lo estipulado en el Reglamento de abuso de mercado (MAR). Tras la publicación de este anuncio a través del Servicio de información reglamentaria ("RIS"), esta información privilegiada ahora se considera de dominio público.</w:t>
            </w:r>
          </w:p>
          <w:p>
            <w:pPr>
              <w:ind w:left="-284" w:right="-427"/>
              <w:jc w:val="both"/>
              <w:rPr>
                <w:rFonts/>
                <w:color w:val="262626" w:themeColor="text1" w:themeTint="D9"/>
              </w:rPr>
            </w:pPr>
            <w:r>
              <w:t>[1] EBITDA - Ganancias antes de intereses, impuestos, depreciación y amortización</w:t>
            </w:r>
          </w:p>
          <w:p>
            <w:pPr>
              <w:ind w:left="-284" w:right="-427"/>
              <w:jc w:val="both"/>
              <w:rPr>
                <w:rFonts/>
                <w:color w:val="262626" w:themeColor="text1" w:themeTint="D9"/>
              </w:rPr>
            </w:pPr>
            <w:r>
              <w:t>[2] Conversión de efectivo operativo: efectivo generado por operaciones / EBITDA</w:t>
            </w:r>
          </w:p>
          <w:p>
            <w:pPr>
              <w:ind w:left="-284" w:right="-427"/>
              <w:jc w:val="both"/>
              <w:rPr>
                <w:rFonts/>
                <w:color w:val="262626" w:themeColor="text1" w:themeTint="D9"/>
              </w:rPr>
            </w:pPr>
            <w:r>
              <w:t>[3] Clientes activos: clientes que realizaron al menos una operación con dinero real durante el período</w:t>
            </w:r>
          </w:p>
          <w:p>
            <w:pPr>
              <w:ind w:left="-284" w:right="-427"/>
              <w:jc w:val="both"/>
              <w:rPr>
                <w:rFonts/>
                <w:color w:val="262626" w:themeColor="text1" w:themeTint="D9"/>
              </w:rPr>
            </w:pPr>
            <w:r>
              <w:t>[4] Por número total de relaciones con los comerciantes de CFD del Reino Unido. Informe de comercio de apalancamiento de tendencias de inversión 2019 en el Reino Unido</w:t>
            </w:r>
          </w:p>
          <w:p>
            <w:pPr>
              <w:ind w:left="-284" w:right="-427"/>
              <w:jc w:val="both"/>
              <w:rPr>
                <w:rFonts/>
                <w:color w:val="262626" w:themeColor="text1" w:themeTint="D9"/>
              </w:rPr>
            </w:pPr>
            <w:r>
              <w:t>[5] Por número total de relaciones con clientes. Tendencias de inversión 2019 Apalancamiento Informe comercial en Alemania</w:t>
            </w:r>
          </w:p>
          <w:p>
            <w:pPr>
              <w:ind w:left="-284" w:right="-427"/>
              <w:jc w:val="both"/>
              <w:rPr>
                <w:rFonts/>
                <w:color w:val="262626" w:themeColor="text1" w:themeTint="D9"/>
              </w:rPr>
            </w:pPr>
            <w:r>
              <w:t>[6] Por número total de relaciones con clientes. Tendencias de inversión 2019 Informe de negociación de apalancamiento en España</w:t>
            </w:r>
          </w:p>
          <w:p>
            <w:pPr>
              <w:ind w:left="-284" w:right="-427"/>
              <w:jc w:val="both"/>
              <w:rPr>
                <w:rFonts/>
                <w:color w:val="262626" w:themeColor="text1" w:themeTint="D9"/>
              </w:rPr>
            </w:pPr>
            <w:r>
              <w:t>[7] Por calificación propia del cliente. Tendencias de inversión 2018 Informe de comercio apalancado en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https://www.notasdeprensa.es/plus500-aumenta-sus-ingresos-un-40-en-la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