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añade nuevos contratos de futuros del petróleo a su gama de CFDs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alcanzar un mínimo histórico en abril de 2020, los precios del petróleo han aumentado debido a la expectativa de un incremento en la demanda de combustible y una recuperación en el tráfico de vehículos a medida que se alivien las medidas del confinamiento. La introducción de nuevos CFDs basados en una gama más amplia de contratos de futuros del petróleo brindará una mayor variedad y flexibilidad 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la plataforma online líder en negociación de CFDs a nivel global, ha anunciado la introducción de nuevos instrumentos basados ​​en una gama más amplia de contratos subyacentes de futuros de petróleo a su plataforma de trading. Estos nuevos instrumentos permiten a los clientes elegir la fecha de vencimiento del contrato subyacente de futuros del petróleo en el que les gustaría intercambiar un CFD.</w:t>
            </w:r>
          </w:p>
          <w:p>
            <w:pPr>
              <w:ind w:left="-284" w:right="-427"/>
              <w:jc w:val="both"/>
              <w:rPr>
                <w:rFonts/>
                <w:color w:val="262626" w:themeColor="text1" w:themeTint="D9"/>
              </w:rPr>
            </w:pPr>
            <w:r>
              <w:t>La inclusión de nuevos CFDs con mayor variedad de contratos subyacentes es el reflejo de la gran demanda actual por parte de los clientes en medio de una alta volatilidad en el precio del petróleo. Por primera vez en su historia, el precio del crudo de EE. UU., que funciona como un punto de referencia para los mercados mundiales, cayó a un mínimo histórico con un valor de - $37.63 por barril el 20 de abril. Sin embargo, desde este mínimo histórico, el punto de referencia ha aumentado la especulación sobre la recuperación del tráfico de vehículos y la demanda de combustible a medida que los países de Europa y Asia, junto con varios estados de EE. UU., comienzan a levantar gradualmente las restricciones impuestas en respuesta a la propagación del coronavirus.</w:t>
            </w:r>
          </w:p>
          <w:p>
            <w:pPr>
              <w:ind w:left="-284" w:right="-427"/>
              <w:jc w:val="both"/>
              <w:rPr>
                <w:rFonts/>
                <w:color w:val="262626" w:themeColor="text1" w:themeTint="D9"/>
              </w:rPr>
            </w:pPr>
            <w:r>
              <w:t>En varios países, como España, la reducción de las restricciones el regreso al trabajo ya ha comenzado, lo que lleva a una reapertura de gran parte de la actividad económica del país y, en consecuencia, a una recuperación del gasto en gasolina.</w:t>
            </w:r>
          </w:p>
          <w:p>
            <w:pPr>
              <w:ind w:left="-284" w:right="-427"/>
              <w:jc w:val="both"/>
              <w:rPr>
                <w:rFonts/>
                <w:color w:val="262626" w:themeColor="text1" w:themeTint="D9"/>
              </w:rPr>
            </w:pPr>
            <w:r>
              <w:t>Los precios del petróleo subieron el lunes 18 de mayo a máximos en los últimos dos meses:</w:t>
            </w:r>
          </w:p>
          <w:p>
            <w:pPr>
              <w:ind w:left="-284" w:right="-427"/>
              <w:jc w:val="both"/>
              <w:rPr>
                <w:rFonts/>
                <w:color w:val="262626" w:themeColor="text1" w:themeTint="D9"/>
              </w:rPr>
            </w:pPr>
            <w:r>
              <w:t>- Los futuros del Brent para entrega en julio ganaron 2,31 dólares, o un 7,1%, a 34,81 dólares por barril.</w:t>
            </w:r>
          </w:p>
          <w:p>
            <w:pPr>
              <w:ind w:left="-284" w:right="-427"/>
              <w:jc w:val="both"/>
              <w:rPr>
                <w:rFonts/>
                <w:color w:val="262626" w:themeColor="text1" w:themeTint="D9"/>
              </w:rPr>
            </w:pPr>
            <w:r>
              <w:t>- El West Texas Intermediate (WTI) subió 2,39 dólares, o un 8,1%, a 31,82 dólares el barril.</w:t>
            </w:r>
          </w:p>
          <w:p>
            <w:pPr>
              <w:ind w:left="-284" w:right="-427"/>
              <w:jc w:val="both"/>
              <w:rPr>
                <w:rFonts/>
                <w:color w:val="262626" w:themeColor="text1" w:themeTint="D9"/>
              </w:rPr>
            </w:pPr>
            <w:r>
              <w:t>Recientemente, el mayor gestor de activos del mundo, UBS, comentó que la reducción de las restricciones ayudará a encontrar un equilibrio entre la oferta y la demanda en el mercado petrolero en el tercer trimestre e incluso predijo un déficit de oferta en el cuarto trimestre. UBS proyecta una recuperación de Brent de hasta $43 por barril para fines de 2020 y $55 para mediados de 2021. Una mayor variedad de contratos para intercambiar CFDs sobre futuros de petróleo permitirá a los clientes una mayor flexibilidad en su negociación y les proporcionará nuevas oportunidades de negociación a largo plazo.</w:t>
            </w:r>
          </w:p>
          <w:p>
            <w:pPr>
              <w:ind w:left="-284" w:right="-427"/>
              <w:jc w:val="both"/>
              <w:rPr>
                <w:rFonts/>
                <w:color w:val="262626" w:themeColor="text1" w:themeTint="D9"/>
              </w:rPr>
            </w:pPr>
            <w:r>
              <w:t>El pasado 7 de abril, Plus500 anunció que había agregado un número significativo (82.951) de Nuevos Clientes[1] en el primer trimestre de 2020, un aumento del 289% en comparación con el mismo período del año anterior. Además de reflejar la fortaleza y la escalabilidad de sus capacidades tecnológicas y de marketing, este rendimiento también refleja el continuo atractivo de la plataforma de negociación de Plus500 para los clientes, así como su capacidad para responder rápidamente al flujo de noticias y la demanda del mercado.</w:t>
            </w:r>
          </w:p>
          <w:p>
            <w:pPr>
              <w:ind w:left="-284" w:right="-427"/>
              <w:jc w:val="both"/>
              <w:rPr>
                <w:rFonts/>
                <w:color w:val="262626" w:themeColor="text1" w:themeTint="D9"/>
              </w:rPr>
            </w:pPr>
            <w:r>
              <w:t>[1] Clientes que depositan dinero por primera vez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https://www.notasdeprensa.es/plus500-anade-nuevos-contratos-de-futuros-del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