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SERES, la facturación electrónica está muy instalada en las pymes de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el porcentaje de las facturas electrónicas emitidas por las pymes representó el 74,28% del total y el 63,74% el de las recibidas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factura electrónica ha entrado con fuerza en las pymes españolas. Según información facilitada por SERES, pionero y especialista en intercambio electrónico seguro de documentos, en 2018 el porcentaje de las facturas electrónicas emitidas por las pymes representó el 74,28% del total y el 63,74% el de las recibidas.</w:t>
            </w:r>
          </w:p>
          <w:p>
            <w:pPr>
              <w:ind w:left="-284" w:right="-427"/>
              <w:jc w:val="both"/>
              <w:rPr>
                <w:rFonts/>
                <w:color w:val="262626" w:themeColor="text1" w:themeTint="D9"/>
              </w:rPr>
            </w:pPr>
            <w:r>
              <w:t>Según estos datos, en 2018, del total de 181.884.086 facturas electrónicas procesadas, 135.103.499 fueron emitidas por pymes y 115.932.916 tuvieron como destinatario a una pyme. También destaca el peso de las grandes empresas, que representaron un 22,48% en emitidas y un 24,48% en recibidas; y el de las micropymes que, durante este periodo, emitieron el 8,24% de las facturas y recibieron el 11,78% del total.El peso de las pymes en la implantación de la factura electrónica se justifica, por un lado, en el hecho de que las pymes son la tipología de empresa más numerosa en nuestro país. Por otro, desde hace años los grandes clientes de estas pymes están impulsando, e incluso obligando, el uso de la factura electrónica a sus proveedores, la mayoría de ellos pymes, especialmente en sectores como la distribución. “Una vez implantado su uso -indica Alberto Redondo, director de marketing de SERES para Iberia y LATAM- lo extienden al conjunto de su actividad, creando un efecto bola de nieve”.Con respecto a 2017 la implantación de la emisión de facturas por las pymes creció un 4,93% y la recepción un 3,58%.Total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papel.Quién usa la factura electrónicaPor Comunidades AutónomasSegún el número de documentos, tanto en emisión como en recepción, Madrid, Cataluña y Andalucía lideran el ranking; seguidas de las Comunidades del País Vasco y Valencia. En cuanto al número de empresas que facturan electrónicamente por Comunidad Autónoma, 2018 fue un año de cambios. Así, Madrid, Valencia y Andalucía lideran el ranking de empresas que emiten facturas; seguidas de un segundo grupo de formado por Cataluña, Castilla y León y País Vasco.Por su parte, en recepción, Madrid, Cataluña y Andalucía encabezan el ranking de empresas; seguidas de Castilla y León, Valencia y País Vasco. En cuanto al número de documentos recibidos, Madrid, Cataluña y Andalucía siguen liderando el ranking; seguidas de Galicia, Valencia y Cantabria.Por sectores Por sectores, es el sector Servicios el que sigue liderando, con un 55,92% en emisión y un 58,45% en recepción, el mercado. Le sigue la Industria, con el 41,80% de empresas en emisión y el 36,68% en recepción, el sector Primario, con el 3,06% de empresas emisoras y el 3,21% de empresa receptoras y otras actividades con el 0,71% en emisión y el 1,66% en recepción.</w:t>
            </w:r>
          </w:p>
          <w:p>
            <w:pPr>
              <w:ind w:left="-284" w:right="-427"/>
              <w:jc w:val="both"/>
              <w:rPr>
                <w:rFonts/>
                <w:color w:val="262626" w:themeColor="text1" w:themeTint="D9"/>
              </w:rPr>
            </w:pPr>
            <w:r>
              <w:t>Por tamaño de empresaPor tipo de empresas, son las de mediano tamaño las que emiten más facturas, el 45,48%, seguidas por las grandes empresas, el 22,48, las pequeñas, el 23,80% y las micro empresas, con el 8,24%. En recepción de facturas, las que más reciben son las medianas empresas con el 37,57% de las facturas, seguidas por las pequeñas empresas con el 26,17%, las grandes con el 24,48% y las microempresas, con el 11,78%.“En este sentido - indica Alberto Redondo - la tendencia continúa en la emisión de e-facturas, destacando este año el aumento de la participación tanto de las medianas empresas como de las microempresas; siendo la variación del 4,10% en el primer caso y del 0,83% en el segundo. En recepción, las grandes y medianas empresas son las principales impulsoras de la e-factura, suponiendo más del 62% de las empresas que reciben; les siguen las pymes y microempresas, que representa casi un 38%”.La implantación del Suministro Inmediato de Información (SII) - el IVA online - en las Comunidades Forales – País vasco y Navarra -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 de este año.Por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euros.Resulta relevante, sobre todo de cara al futuro, el éxito internacional de la factura electrónica y los impulsos dados por la Unión Europea para normalizar su uso entre los países miembros. Un impulso que ha permitido el desarrollo, a lo largo de 2018, de un nuevo formato común de factura electrónica, que es obligatorio en las contrataciones públicas europeas desde el 18 de abril de 2019.“En los últimos años - comenta Alberto Redondo, director de Marketing de SERES para Iberia y LATAM -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w:t>
            </w:r>
          </w:p>
          <w:p>
            <w:pPr>
              <w:ind w:left="-284" w:right="-427"/>
              <w:jc w:val="both"/>
              <w:rPr>
                <w:rFonts/>
                <w:color w:val="262626" w:themeColor="text1" w:themeTint="D9"/>
              </w:rPr>
            </w:pPr>
            <w:r>
              <w:t>2019, nuevo punto de inflexiónA pesar de la contracción del crecimiento económico en la zona euro, todo parece indicar que 2019 será un año muy importante para la universalización de la factura electrónica en la UE. El nuevo estándar europeo de factura electrónica es obligatorio en las relaciones B2G desde el 18 de abril de 2019, para todos los Estados Miembros de la Unión Europea.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Redondo.Acerca del estudioEl Estudio analiza la implantación de la factura electrónica en el sector empresarial de España, ofreciendo datos tanto a nivel nacional como autonómico. El Estudio realiza una comparativa entre el primer semestre de 2017 y el mismo periodo del año anterior.Desde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w:t>
            </w:r>
          </w:p>
          <w:p>
            <w:pPr>
              <w:ind w:left="-284" w:right="-427"/>
              <w:jc w:val="both"/>
              <w:rPr>
                <w:rFonts/>
                <w:color w:val="262626" w:themeColor="text1" w:themeTint="D9"/>
              </w:rPr>
            </w:pPr>
            <w:r>
              <w:t>https://es.groupseres.com/estudios-mercado</w:t>
            </w:r>
          </w:p>
          <w:p>
            <w:pPr>
              <w:ind w:left="-284" w:right="-427"/>
              <w:jc w:val="both"/>
              <w:rPr>
                <w:rFonts/>
                <w:color w:val="262626" w:themeColor="text1" w:themeTint="D9"/>
              </w:rPr>
            </w:pPr>
            <w:r>
              <w:t>Análisis de la Ley 25/2013:</w:t>
            </w:r>
          </w:p>
          <w:p>
            <w:pPr>
              <w:ind w:left="-284" w:right="-427"/>
              <w:jc w:val="both"/>
              <w:rPr>
                <w:rFonts/>
                <w:color w:val="262626" w:themeColor="text1" w:themeTint="D9"/>
              </w:rPr>
            </w:pPr>
            <w:r>
              <w:t>https://es.groupseres.com/facturae/obligatoriedad-proveedor-aappLey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p>
            <w:pPr>
              <w:ind w:left="-284" w:right="-427"/>
              <w:jc w:val="both"/>
              <w:rPr>
                <w:rFonts/>
                <w:color w:val="262626" w:themeColor="text1" w:themeTint="D9"/>
              </w:rPr>
            </w:pPr>
            <w:r>
              <w:t>2019, nuevo punto de inflexiónA pesar de la contracción del crecimiento económico en la zona euro, todo parece indicar que 2019 será un año muy importante para la universalización de la factura electrónica en la UE. El nuevo estándar europeo de factura electrónica es obligatorio en las relaciones B2G desde el 18 de abril de 2019, para todos los Estados Miembros de la Unión Europea.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Redondo.Acerca del estudio</w:t>
            </w:r>
          </w:p>
          <w:p>
            <w:pPr>
              <w:ind w:left="-284" w:right="-427"/>
              <w:jc w:val="both"/>
              <w:rPr>
                <w:rFonts/>
                <w:color w:val="262626" w:themeColor="text1" w:themeTint="D9"/>
              </w:rPr>
            </w:pPr>
            <w:r>
              <w:t>El Estudio analiza la implantación de la factura electrónica en el sector empresarial de España, ofreciendo datos tanto a nivel nacional como autonómico. El Estudio realiza una comparativa entre el primer semestre de 2017 y el mismo periodo del año anterior.Desde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Consulte los Estudios aquí:</w:t>
            </w:r>
          </w:p>
          <w:p>
            <w:pPr>
              <w:ind w:left="-284" w:right="-427"/>
              <w:jc w:val="both"/>
              <w:rPr>
                <w:rFonts/>
                <w:color w:val="262626" w:themeColor="text1" w:themeTint="D9"/>
              </w:rPr>
            </w:pPr>
            <w:r>
              <w:t>https://es.groupseres.com/estudios-mercado</w:t>
            </w:r>
          </w:p>
          <w:p>
            <w:pPr>
              <w:ind w:left="-284" w:right="-427"/>
              <w:jc w:val="both"/>
              <w:rPr>
                <w:rFonts/>
                <w:color w:val="262626" w:themeColor="text1" w:themeTint="D9"/>
              </w:rPr>
            </w:pPr>
            <w:r>
              <w:t>Análisis de la Ley 25/2013:</w:t>
            </w:r>
          </w:p>
          <w:p>
            <w:pPr>
              <w:ind w:left="-284" w:right="-427"/>
              <w:jc w:val="both"/>
              <w:rPr>
                <w:rFonts/>
                <w:color w:val="262626" w:themeColor="text1" w:themeTint="D9"/>
              </w:rPr>
            </w:pPr>
            <w:r>
              <w:t>https://es.groupseres.com/facturae/obligatoriedad-proveedor-aappLey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https://www.notasdeprensa.es/para-seres-la-facturacion-electronica-esta-muy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