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Elche, Alicante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Online y offline, dos modelos de marketing compatibles según Marketing Directo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Ninguno de los dos mundos es excluyente, puesto que pueden integrarse en una misma estrategia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Digitalizar una empresa en el mundo actual es un paso básico para todo tipo de negocio. Este proceso no quiere decir que el marketing offline se vaya a extinguir en poco tiempo. Ambos modelos unen fuerzas para crear estrategias y caminos hacia la consecución de objetivos comunes.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Directo hace eco de los datos recogidos en el análisis y estudio de Marketing Relacional en España, elaborado por Mediapost y en colaboración con la Asociación de Marketing de España. Defiende que el e-commerce es el modelo de comercio digital más asentado hoy día, y refleja que esa combinación de estrategias unen fuerzas con el offline. Los puntos de venta físicos están marcando tendencia y se convierten en un canal perfectamente compatible. Existen agencias como la empresa Grupo Antón que, mediante publicidad online en Murcia y la offline, dejan claro que pueden coexistir estos dos tipos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lo digital es innegable y su valor se amplía con las posibilidades que da una tienda física tradicional. En este terreno, hay grandes empresas tecnológicas como Amazon, que también han elegido este modelo, y otras empresas como las agencias de comunicación de Alicante que ayudan a las PYMES, tanto en el offline como el online, a darse a conocer.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Últimamente, se está viendo otra tendencia en el cuidado de la experiencia de compra, llamada experiencia de usuario o UX. Este modelo se está trasladando a las tiendas físicas, desde la experiencia de compra digital mediante servicios complementarios, hasta comprar online y recoger en persona en la tienda. Dos mundos que se usan de forma conjunta y mejoran tanto la experiencia de compra como la imagen de marca.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Antón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965 442 612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https://www.notasdeprensa.es/online-y-offline-dos-modelos-de-marketing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